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D0" w:rsidRPr="00E44079" w:rsidRDefault="00934FD0" w:rsidP="000A54BF">
      <w:pPr>
        <w:jc w:val="center"/>
        <w:rPr>
          <w:rFonts w:ascii="Arial" w:hAnsi="Arial" w:cs="Arial"/>
          <w:b/>
          <w:sz w:val="36"/>
          <w:szCs w:val="20"/>
        </w:rPr>
      </w:pPr>
      <w:r w:rsidRPr="00E44079">
        <w:rPr>
          <w:rFonts w:ascii="Arial" w:hAnsi="Arial" w:cs="Arial"/>
          <w:b/>
          <w:sz w:val="36"/>
          <w:szCs w:val="20"/>
        </w:rPr>
        <w:t xml:space="preserve">Accountability of </w:t>
      </w:r>
      <w:proofErr w:type="spellStart"/>
      <w:r w:rsidR="00BE1364" w:rsidRPr="00E44079">
        <w:rPr>
          <w:rFonts w:ascii="Arial" w:hAnsi="Arial" w:cs="Arial"/>
          <w:b/>
          <w:sz w:val="36"/>
          <w:szCs w:val="20"/>
        </w:rPr>
        <w:t>Agri</w:t>
      </w:r>
      <w:proofErr w:type="spellEnd"/>
      <w:r w:rsidR="00BE1364" w:rsidRPr="00E44079">
        <w:rPr>
          <w:rFonts w:ascii="Arial" w:hAnsi="Arial" w:cs="Arial"/>
          <w:b/>
          <w:sz w:val="36"/>
          <w:szCs w:val="20"/>
        </w:rPr>
        <w:t>-</w:t>
      </w:r>
      <w:r w:rsidRPr="00E44079">
        <w:rPr>
          <w:rFonts w:ascii="Arial" w:hAnsi="Arial" w:cs="Arial"/>
          <w:b/>
          <w:sz w:val="36"/>
          <w:szCs w:val="20"/>
        </w:rPr>
        <w:t>TNCs</w:t>
      </w:r>
    </w:p>
    <w:p w:rsidR="00934FD0" w:rsidRPr="00E44079" w:rsidRDefault="00934FD0" w:rsidP="000A54BF">
      <w:pPr>
        <w:jc w:val="center"/>
        <w:rPr>
          <w:rFonts w:ascii="Arial" w:hAnsi="Arial" w:cs="Arial"/>
          <w:color w:val="000000"/>
          <w:sz w:val="36"/>
          <w:szCs w:val="20"/>
        </w:rPr>
      </w:pPr>
    </w:p>
    <w:p w:rsidR="008157B7" w:rsidRPr="00E44079" w:rsidRDefault="00BE1364" w:rsidP="008157B7">
      <w:pPr>
        <w:rPr>
          <w:rFonts w:ascii="Arial" w:hAnsi="Arial" w:cs="Arial"/>
          <w:color w:val="000000"/>
          <w:sz w:val="32"/>
          <w:szCs w:val="20"/>
          <w:lang w:val="en-GB"/>
        </w:rPr>
      </w:pPr>
      <w:proofErr w:type="spellStart"/>
      <w:r w:rsidRPr="00E44079">
        <w:rPr>
          <w:rFonts w:ascii="Arial" w:hAnsi="Arial" w:cs="Arial"/>
          <w:sz w:val="32"/>
          <w:szCs w:val="20"/>
          <w:lang w:val="en-GB"/>
        </w:rPr>
        <w:t>Agri</w:t>
      </w:r>
      <w:proofErr w:type="spellEnd"/>
      <w:r w:rsidRPr="00E44079">
        <w:rPr>
          <w:rFonts w:ascii="Arial" w:hAnsi="Arial" w:cs="Arial"/>
          <w:sz w:val="32"/>
          <w:szCs w:val="20"/>
          <w:lang w:val="en-GB"/>
        </w:rPr>
        <w:t>-</w:t>
      </w:r>
      <w:r w:rsidR="008157B7" w:rsidRPr="00E44079">
        <w:rPr>
          <w:rFonts w:ascii="Arial" w:hAnsi="Arial" w:cs="Arial"/>
          <w:sz w:val="32"/>
          <w:szCs w:val="20"/>
          <w:lang w:val="en-GB"/>
        </w:rPr>
        <w:t>Transnational</w:t>
      </w:r>
      <w:r w:rsidR="008157B7" w:rsidRPr="00E44079">
        <w:rPr>
          <w:rFonts w:ascii="Arial" w:hAnsi="Arial" w:cs="Arial"/>
          <w:color w:val="000000"/>
          <w:sz w:val="32"/>
          <w:szCs w:val="20"/>
          <w:lang w:val="en-GB"/>
        </w:rPr>
        <w:t xml:space="preserve"> Corporations (TNCs) are the drivers of the current accelerated phase of globalisation</w:t>
      </w:r>
      <w:r w:rsidRPr="00E44079">
        <w:rPr>
          <w:rFonts w:ascii="Arial" w:hAnsi="Arial" w:cs="Arial"/>
          <w:color w:val="000000"/>
          <w:sz w:val="32"/>
          <w:szCs w:val="20"/>
          <w:lang w:val="en-GB"/>
        </w:rPr>
        <w:t xml:space="preserve"> process, particularly in the</w:t>
      </w:r>
      <w:r w:rsidR="000C2DBA" w:rsidRPr="00E44079">
        <w:rPr>
          <w:rFonts w:ascii="Arial" w:hAnsi="Arial" w:cs="Arial"/>
          <w:color w:val="000000"/>
          <w:sz w:val="32"/>
          <w:szCs w:val="20"/>
          <w:lang w:val="en-GB"/>
        </w:rPr>
        <w:t xml:space="preserve"> domination</w:t>
      </w:r>
      <w:r w:rsidRPr="00E44079">
        <w:rPr>
          <w:rFonts w:ascii="Arial" w:hAnsi="Arial" w:cs="Arial"/>
          <w:color w:val="000000"/>
          <w:sz w:val="32"/>
          <w:szCs w:val="20"/>
          <w:lang w:val="en-GB"/>
        </w:rPr>
        <w:t xml:space="preserve"> of the </w:t>
      </w:r>
      <w:r w:rsidR="000C2DBA" w:rsidRPr="00E44079">
        <w:rPr>
          <w:rFonts w:ascii="Arial" w:hAnsi="Arial" w:cs="Arial"/>
          <w:color w:val="000000"/>
          <w:sz w:val="32"/>
          <w:szCs w:val="20"/>
          <w:lang w:val="en-GB"/>
        </w:rPr>
        <w:t>agricult</w:t>
      </w:r>
      <w:r w:rsidR="00CF33AB" w:rsidRPr="00E44079">
        <w:rPr>
          <w:rFonts w:ascii="Arial" w:hAnsi="Arial" w:cs="Arial"/>
          <w:color w:val="000000"/>
          <w:sz w:val="32"/>
          <w:szCs w:val="20"/>
          <w:lang w:val="en-GB"/>
        </w:rPr>
        <w:t>ur</w:t>
      </w:r>
      <w:r w:rsidRPr="00E44079">
        <w:rPr>
          <w:rFonts w:ascii="Arial" w:hAnsi="Arial" w:cs="Arial"/>
          <w:color w:val="000000"/>
          <w:sz w:val="32"/>
          <w:szCs w:val="20"/>
          <w:lang w:val="en-GB"/>
        </w:rPr>
        <w:t>al sector</w:t>
      </w:r>
      <w:r w:rsidR="00CF33AB" w:rsidRPr="00E44079">
        <w:rPr>
          <w:rFonts w:ascii="Arial" w:hAnsi="Arial" w:cs="Arial"/>
          <w:color w:val="000000"/>
          <w:sz w:val="32"/>
          <w:szCs w:val="20"/>
          <w:lang w:val="en-GB"/>
        </w:rPr>
        <w:t>.   In developing and under-</w:t>
      </w:r>
      <w:r w:rsidR="000C2DBA" w:rsidRPr="00E44079">
        <w:rPr>
          <w:rFonts w:ascii="Arial" w:hAnsi="Arial" w:cs="Arial"/>
          <w:color w:val="000000"/>
          <w:sz w:val="32"/>
          <w:szCs w:val="20"/>
          <w:lang w:val="en-GB"/>
        </w:rPr>
        <w:t xml:space="preserve">developed countries, </w:t>
      </w:r>
      <w:r w:rsidRPr="00E44079">
        <w:rPr>
          <w:rFonts w:ascii="Arial" w:hAnsi="Arial" w:cs="Arial"/>
          <w:color w:val="000000"/>
          <w:sz w:val="32"/>
          <w:szCs w:val="20"/>
          <w:lang w:val="en-GB"/>
        </w:rPr>
        <w:t>especially</w:t>
      </w:r>
      <w:r w:rsidR="000C2DBA" w:rsidRPr="00E44079">
        <w:rPr>
          <w:rFonts w:ascii="Arial" w:hAnsi="Arial" w:cs="Arial"/>
          <w:color w:val="000000"/>
          <w:sz w:val="32"/>
          <w:szCs w:val="20"/>
          <w:lang w:val="en-GB"/>
        </w:rPr>
        <w:t xml:space="preserve">, globalisation translates into corporate </w:t>
      </w:r>
      <w:r w:rsidRPr="00E44079">
        <w:rPr>
          <w:rFonts w:ascii="Arial" w:hAnsi="Arial" w:cs="Arial"/>
          <w:color w:val="000000"/>
          <w:sz w:val="32"/>
          <w:szCs w:val="20"/>
          <w:lang w:val="en-GB"/>
        </w:rPr>
        <w:t>control</w:t>
      </w:r>
      <w:r w:rsidR="000C2DBA" w:rsidRPr="00E44079">
        <w:rPr>
          <w:rFonts w:ascii="Arial" w:hAnsi="Arial" w:cs="Arial"/>
          <w:color w:val="000000"/>
          <w:sz w:val="32"/>
          <w:szCs w:val="20"/>
          <w:lang w:val="en-GB"/>
        </w:rPr>
        <w:t xml:space="preserve"> over local enterprises</w:t>
      </w:r>
      <w:r w:rsidRPr="00E44079">
        <w:rPr>
          <w:rFonts w:ascii="Arial" w:hAnsi="Arial" w:cs="Arial"/>
          <w:color w:val="000000"/>
          <w:sz w:val="32"/>
          <w:szCs w:val="20"/>
          <w:lang w:val="en-GB"/>
        </w:rPr>
        <w:t>, local agricultural production</w:t>
      </w:r>
      <w:r w:rsidR="000C2DBA" w:rsidRPr="00E44079">
        <w:rPr>
          <w:rFonts w:ascii="Arial" w:hAnsi="Arial" w:cs="Arial"/>
          <w:color w:val="000000"/>
          <w:sz w:val="32"/>
          <w:szCs w:val="20"/>
          <w:lang w:val="en-GB"/>
        </w:rPr>
        <w:t xml:space="preserve"> and domestic economies.  </w:t>
      </w:r>
      <w:r w:rsidRPr="00E44079">
        <w:rPr>
          <w:rFonts w:ascii="Arial" w:hAnsi="Arial" w:cs="Arial"/>
          <w:color w:val="000000"/>
          <w:sz w:val="32"/>
          <w:szCs w:val="20"/>
          <w:lang w:val="en-GB"/>
        </w:rPr>
        <w:t>The extent of such</w:t>
      </w:r>
      <w:r w:rsidR="000C2DBA" w:rsidRPr="00E44079">
        <w:rPr>
          <w:rFonts w:ascii="Arial" w:hAnsi="Arial" w:cs="Arial"/>
          <w:color w:val="000000"/>
          <w:sz w:val="32"/>
          <w:szCs w:val="20"/>
          <w:lang w:val="en-GB"/>
        </w:rPr>
        <w:t xml:space="preserve"> control </w:t>
      </w:r>
      <w:r w:rsidRPr="00E44079">
        <w:rPr>
          <w:rFonts w:ascii="Arial" w:hAnsi="Arial" w:cs="Arial"/>
          <w:color w:val="000000"/>
          <w:sz w:val="32"/>
          <w:szCs w:val="20"/>
          <w:lang w:val="en-GB"/>
        </w:rPr>
        <w:t xml:space="preserve">extends from the provision of </w:t>
      </w:r>
      <w:r w:rsidR="000C2DBA" w:rsidRPr="00E44079">
        <w:rPr>
          <w:rFonts w:ascii="Arial" w:hAnsi="Arial" w:cs="Arial"/>
          <w:color w:val="000000"/>
          <w:sz w:val="32"/>
          <w:szCs w:val="20"/>
          <w:lang w:val="en-GB"/>
        </w:rPr>
        <w:t>technology</w:t>
      </w:r>
      <w:r w:rsidRPr="00E44079">
        <w:rPr>
          <w:rFonts w:ascii="Arial" w:hAnsi="Arial" w:cs="Arial"/>
          <w:color w:val="000000"/>
          <w:sz w:val="32"/>
          <w:szCs w:val="20"/>
          <w:lang w:val="en-GB"/>
        </w:rPr>
        <w:t xml:space="preserve"> to</w:t>
      </w:r>
      <w:r w:rsidR="000C2DBA" w:rsidRPr="00E44079">
        <w:rPr>
          <w:rFonts w:ascii="Arial" w:hAnsi="Arial" w:cs="Arial"/>
          <w:color w:val="000000"/>
          <w:sz w:val="32"/>
          <w:szCs w:val="20"/>
          <w:lang w:val="en-GB"/>
        </w:rPr>
        <w:t xml:space="preserve"> raw material sourcing and access to markets.  </w:t>
      </w:r>
    </w:p>
    <w:p w:rsidR="008157B7" w:rsidRPr="00E44079" w:rsidRDefault="008157B7" w:rsidP="008157B7">
      <w:pPr>
        <w:rPr>
          <w:rFonts w:ascii="Arial" w:hAnsi="Arial" w:cs="Arial"/>
          <w:color w:val="000000"/>
          <w:sz w:val="32"/>
          <w:szCs w:val="20"/>
          <w:lang w:val="en-GB"/>
        </w:rPr>
      </w:pPr>
    </w:p>
    <w:p w:rsidR="000C2DBA" w:rsidRPr="00E44079" w:rsidRDefault="00BE1364" w:rsidP="000C2DBA">
      <w:pPr>
        <w:rPr>
          <w:rFonts w:ascii="Arial" w:hAnsi="Arial" w:cs="Arial"/>
          <w:color w:val="000000"/>
          <w:sz w:val="32"/>
          <w:szCs w:val="20"/>
          <w:lang w:val="en-GB"/>
        </w:rPr>
      </w:pPr>
      <w:r w:rsidRPr="00E44079">
        <w:rPr>
          <w:rFonts w:ascii="Arial" w:hAnsi="Arial" w:cs="Arial"/>
          <w:color w:val="000000"/>
          <w:sz w:val="32"/>
          <w:szCs w:val="20"/>
          <w:lang w:val="en-GB"/>
        </w:rPr>
        <w:t>The concentration of c</w:t>
      </w:r>
      <w:r w:rsidR="000C2DBA" w:rsidRPr="00E44079">
        <w:rPr>
          <w:rFonts w:ascii="Arial" w:hAnsi="Arial" w:cs="Arial"/>
          <w:color w:val="000000"/>
          <w:sz w:val="32"/>
          <w:szCs w:val="20"/>
          <w:lang w:val="en-GB"/>
        </w:rPr>
        <w:t xml:space="preserve">orporate power in </w:t>
      </w:r>
      <w:r w:rsidRPr="00E44079">
        <w:rPr>
          <w:rFonts w:ascii="Arial" w:hAnsi="Arial" w:cs="Arial"/>
          <w:color w:val="000000"/>
          <w:sz w:val="32"/>
          <w:szCs w:val="20"/>
          <w:lang w:val="en-GB"/>
        </w:rPr>
        <w:t xml:space="preserve">the area of </w:t>
      </w:r>
      <w:r w:rsidR="000C2DBA" w:rsidRPr="00E44079">
        <w:rPr>
          <w:rFonts w:ascii="Arial" w:hAnsi="Arial" w:cs="Arial"/>
          <w:color w:val="000000"/>
          <w:sz w:val="32"/>
          <w:szCs w:val="20"/>
          <w:lang w:val="en-GB"/>
        </w:rPr>
        <w:t>food and agriculture is enormous. Just six corporations (Bayer, Syngenta, BASF, Dow, Monsanto and DuPont) control 75 percent of the global pesticides market</w:t>
      </w:r>
      <w:r w:rsidR="005F35EE" w:rsidRPr="00E44079">
        <w:rPr>
          <w:rStyle w:val="FootnoteReference"/>
          <w:rFonts w:ascii="Arial" w:hAnsi="Arial" w:cs="Arial"/>
          <w:color w:val="000000"/>
          <w:sz w:val="32"/>
          <w:szCs w:val="20"/>
          <w:lang w:val="en-GB"/>
        </w:rPr>
        <w:footnoteReference w:id="1"/>
      </w:r>
      <w:r w:rsidR="005F35EE" w:rsidRPr="00E44079">
        <w:rPr>
          <w:rFonts w:ascii="Arial" w:hAnsi="Arial" w:cs="Arial"/>
          <w:color w:val="000000"/>
          <w:sz w:val="32"/>
          <w:szCs w:val="20"/>
          <w:lang w:val="en-GB"/>
        </w:rPr>
        <w:t xml:space="preserve">. </w:t>
      </w:r>
      <w:r w:rsidR="005B5460" w:rsidRPr="00AA57D2">
        <w:rPr>
          <w:rFonts w:ascii="Arial" w:hAnsi="Arial" w:cs="Arial"/>
          <w:b/>
          <w:bCs/>
          <w:color w:val="FF0000"/>
          <w:sz w:val="32"/>
          <w:szCs w:val="20"/>
          <w:lang w:val="en-US"/>
        </w:rPr>
        <w:t>10 companies control 73% world’s proprietary seed market</w:t>
      </w:r>
      <w:r w:rsidR="00A02507" w:rsidRPr="00AA57D2">
        <w:rPr>
          <w:rFonts w:ascii="Arial" w:hAnsi="Arial" w:cs="Arial"/>
          <w:b/>
          <w:bCs/>
          <w:color w:val="FF0000"/>
          <w:sz w:val="32"/>
          <w:szCs w:val="20"/>
          <w:lang w:val="en-US"/>
        </w:rPr>
        <w:t xml:space="preserve"> of US27.4 billion in 2009. </w:t>
      </w:r>
      <w:r w:rsidR="005B5460" w:rsidRPr="00AA57D2">
        <w:rPr>
          <w:rFonts w:ascii="Arial" w:hAnsi="Arial" w:cs="Arial"/>
          <w:b/>
          <w:bCs/>
          <w:color w:val="FF0000"/>
          <w:sz w:val="32"/>
          <w:szCs w:val="20"/>
          <w:lang w:val="en-US"/>
        </w:rPr>
        <w:t>Monsanto, accounts for 27% of the global proprietary seed market.</w:t>
      </w:r>
      <w:r w:rsidR="00A02507" w:rsidRPr="00AA57D2">
        <w:rPr>
          <w:rFonts w:ascii="Arial" w:hAnsi="Arial" w:cs="Arial"/>
          <w:b/>
          <w:bCs/>
          <w:color w:val="FF0000"/>
          <w:sz w:val="32"/>
          <w:szCs w:val="20"/>
          <w:lang w:val="en-US"/>
        </w:rPr>
        <w:t xml:space="preserve"> </w:t>
      </w:r>
      <w:r w:rsidR="005B5460" w:rsidRPr="00AA57D2">
        <w:rPr>
          <w:rFonts w:ascii="Arial" w:hAnsi="Arial" w:cs="Arial"/>
          <w:b/>
          <w:bCs/>
          <w:color w:val="FF0000"/>
          <w:sz w:val="32"/>
          <w:szCs w:val="20"/>
          <w:lang w:val="en-US"/>
        </w:rPr>
        <w:t>Mons</w:t>
      </w:r>
      <w:r w:rsidR="00A02507" w:rsidRPr="00AA57D2">
        <w:rPr>
          <w:rFonts w:ascii="Arial" w:hAnsi="Arial" w:cs="Arial"/>
          <w:b/>
          <w:bCs/>
          <w:color w:val="FF0000"/>
          <w:sz w:val="32"/>
          <w:szCs w:val="20"/>
          <w:lang w:val="en-US"/>
        </w:rPr>
        <w:t xml:space="preserve">anto, </w:t>
      </w:r>
      <w:proofErr w:type="spellStart"/>
      <w:r w:rsidR="00A02507" w:rsidRPr="00AA57D2">
        <w:rPr>
          <w:rFonts w:ascii="Arial" w:hAnsi="Arial" w:cs="Arial"/>
          <w:b/>
          <w:bCs/>
          <w:color w:val="FF0000"/>
          <w:sz w:val="32"/>
          <w:szCs w:val="20"/>
          <w:lang w:val="en-US"/>
        </w:rPr>
        <w:t>Dupont</w:t>
      </w:r>
      <w:proofErr w:type="spellEnd"/>
      <w:r w:rsidR="00A02507" w:rsidRPr="00AA57D2">
        <w:rPr>
          <w:rFonts w:ascii="Arial" w:hAnsi="Arial" w:cs="Arial"/>
          <w:b/>
          <w:bCs/>
          <w:color w:val="FF0000"/>
          <w:sz w:val="32"/>
          <w:szCs w:val="20"/>
          <w:lang w:val="en-US"/>
        </w:rPr>
        <w:t>, Syngenta are the lead seed companies.</w:t>
      </w:r>
      <w:r w:rsidR="00A02507" w:rsidRPr="00E44079">
        <w:rPr>
          <w:rFonts w:ascii="Arial" w:hAnsi="Arial" w:cs="Arial"/>
          <w:b/>
          <w:bCs/>
          <w:color w:val="000000"/>
          <w:sz w:val="32"/>
          <w:szCs w:val="20"/>
          <w:lang w:val="en-US"/>
        </w:rPr>
        <w:t xml:space="preserve"> </w:t>
      </w:r>
      <w:r w:rsidR="005B5460" w:rsidRPr="00E44079">
        <w:rPr>
          <w:rFonts w:ascii="Arial" w:hAnsi="Arial" w:cs="Arial"/>
          <w:b/>
          <w:bCs/>
          <w:color w:val="000000"/>
          <w:sz w:val="32"/>
          <w:szCs w:val="20"/>
          <w:lang w:val="en-US"/>
        </w:rPr>
        <w:t xml:space="preserve"> </w:t>
      </w:r>
      <w:r w:rsidR="005F35EE" w:rsidRPr="00E44079">
        <w:rPr>
          <w:rFonts w:ascii="Arial" w:hAnsi="Arial" w:cs="Arial"/>
          <w:color w:val="000000"/>
          <w:sz w:val="32"/>
          <w:szCs w:val="20"/>
          <w:lang w:val="en-GB"/>
        </w:rPr>
        <w:t xml:space="preserve">Three companies (Monsanto, DuPont and Syngenta) control 97 </w:t>
      </w:r>
      <w:proofErr w:type="spellStart"/>
      <w:r w:rsidR="005F35EE" w:rsidRPr="00E44079">
        <w:rPr>
          <w:rFonts w:ascii="Arial" w:hAnsi="Arial" w:cs="Arial"/>
          <w:color w:val="000000"/>
          <w:sz w:val="32"/>
          <w:szCs w:val="20"/>
          <w:lang w:val="en-GB"/>
        </w:rPr>
        <w:t>percent</w:t>
      </w:r>
      <w:proofErr w:type="spellEnd"/>
      <w:r w:rsidR="005F35EE" w:rsidRPr="00E44079">
        <w:rPr>
          <w:rFonts w:ascii="Arial" w:hAnsi="Arial" w:cs="Arial"/>
          <w:color w:val="000000"/>
          <w:sz w:val="32"/>
          <w:szCs w:val="20"/>
          <w:lang w:val="en-GB"/>
        </w:rPr>
        <w:t xml:space="preserve"> of the world’s genetically engineered (GE) seed market.</w:t>
      </w:r>
      <w:r w:rsidR="005F35EE" w:rsidRPr="00E44079">
        <w:rPr>
          <w:rFonts w:ascii="Arial" w:hAnsi="Arial" w:cs="Arial"/>
          <w:color w:val="000000"/>
          <w:sz w:val="32"/>
          <w:szCs w:val="20"/>
          <w:vertAlign w:val="superscript"/>
          <w:lang w:val="en-GB"/>
        </w:rPr>
        <w:footnoteReference w:id="2"/>
      </w:r>
      <w:r w:rsidR="000C2DBA" w:rsidRPr="00E44079">
        <w:rPr>
          <w:rFonts w:ascii="Arial" w:hAnsi="Arial" w:cs="Arial"/>
          <w:color w:val="000000"/>
          <w:sz w:val="32"/>
          <w:szCs w:val="20"/>
          <w:lang w:val="en-GB"/>
        </w:rPr>
        <w:t xml:space="preserve"> </w:t>
      </w:r>
      <w:r w:rsidR="009752A1" w:rsidRPr="00E44079">
        <w:rPr>
          <w:rFonts w:ascii="Arial" w:hAnsi="Arial" w:cs="Arial"/>
          <w:color w:val="000000"/>
          <w:sz w:val="32"/>
          <w:szCs w:val="20"/>
          <w:lang w:val="en-GB"/>
        </w:rPr>
        <w:t>This handful of corporations wields excessive power and influence, and in many cases determines</w:t>
      </w:r>
      <w:r w:rsidR="000C2DBA" w:rsidRPr="00E44079">
        <w:rPr>
          <w:rFonts w:ascii="Arial" w:hAnsi="Arial" w:cs="Arial"/>
          <w:color w:val="000000"/>
          <w:sz w:val="32"/>
          <w:szCs w:val="20"/>
          <w:lang w:val="en-GB"/>
        </w:rPr>
        <w:t xml:space="preserve"> the trajectory of community, national and</w:t>
      </w:r>
      <w:r w:rsidR="00397BD0" w:rsidRPr="00E44079">
        <w:rPr>
          <w:rFonts w:ascii="Arial" w:hAnsi="Arial" w:cs="Arial"/>
          <w:color w:val="000000"/>
          <w:sz w:val="32"/>
          <w:szCs w:val="20"/>
          <w:lang w:val="en-GB"/>
        </w:rPr>
        <w:t xml:space="preserve"> in</w:t>
      </w:r>
      <w:r w:rsidR="000C2DBA" w:rsidRPr="00E44079">
        <w:rPr>
          <w:rFonts w:ascii="Arial" w:hAnsi="Arial" w:cs="Arial"/>
          <w:color w:val="000000"/>
          <w:sz w:val="32"/>
          <w:szCs w:val="20"/>
          <w:lang w:val="en-GB"/>
        </w:rPr>
        <w:t xml:space="preserve">ternational food and farming policies and practices. </w:t>
      </w:r>
    </w:p>
    <w:p w:rsidR="00397BD0" w:rsidRPr="00E44079" w:rsidRDefault="00397BD0" w:rsidP="000C2DBA">
      <w:pPr>
        <w:rPr>
          <w:rFonts w:ascii="Arial" w:hAnsi="Arial" w:cs="Arial"/>
          <w:color w:val="000000"/>
          <w:sz w:val="32"/>
          <w:szCs w:val="20"/>
          <w:lang w:val="en-GB"/>
        </w:rPr>
      </w:pPr>
    </w:p>
    <w:p w:rsidR="00397BD0" w:rsidRPr="00A36F72" w:rsidRDefault="0076026C" w:rsidP="00397BD0">
      <w:pPr>
        <w:rPr>
          <w:rFonts w:ascii="Arial" w:hAnsi="Arial" w:cs="Arial"/>
          <w:b/>
          <w:color w:val="FF0000"/>
          <w:sz w:val="32"/>
          <w:szCs w:val="20"/>
          <w:lang w:val="en-GB"/>
        </w:rPr>
      </w:pPr>
      <w:proofErr w:type="spellStart"/>
      <w:r w:rsidRPr="00AA57D2">
        <w:rPr>
          <w:rFonts w:ascii="Arial" w:hAnsi="Arial" w:cs="Arial"/>
          <w:b/>
          <w:color w:val="FF0000"/>
          <w:sz w:val="32"/>
          <w:szCs w:val="20"/>
          <w:lang w:val="en-GB"/>
        </w:rPr>
        <w:t>Agri</w:t>
      </w:r>
      <w:proofErr w:type="spellEnd"/>
      <w:r w:rsidRPr="00AA57D2">
        <w:rPr>
          <w:rFonts w:ascii="Arial" w:hAnsi="Arial" w:cs="Arial"/>
          <w:b/>
          <w:color w:val="FF0000"/>
          <w:sz w:val="32"/>
          <w:szCs w:val="20"/>
          <w:lang w:val="en-GB"/>
        </w:rPr>
        <w:t xml:space="preserve">-TNCs </w:t>
      </w:r>
      <w:r w:rsidR="00397BD0" w:rsidRPr="00AA57D2">
        <w:rPr>
          <w:rFonts w:ascii="Arial" w:hAnsi="Arial" w:cs="Arial"/>
          <w:b/>
          <w:color w:val="FF0000"/>
          <w:sz w:val="32"/>
          <w:szCs w:val="20"/>
          <w:lang w:val="en-GB"/>
        </w:rPr>
        <w:t xml:space="preserve">commit human rights violations in their regular course of business </w:t>
      </w:r>
      <w:r w:rsidRPr="00AA57D2">
        <w:rPr>
          <w:rFonts w:ascii="Arial" w:hAnsi="Arial" w:cs="Arial"/>
          <w:b/>
          <w:color w:val="FF0000"/>
          <w:sz w:val="32"/>
          <w:szCs w:val="20"/>
          <w:lang w:val="en-GB"/>
        </w:rPr>
        <w:t>–</w:t>
      </w:r>
      <w:r w:rsidR="00397BD0" w:rsidRPr="00AA57D2">
        <w:rPr>
          <w:rFonts w:ascii="Arial" w:hAnsi="Arial" w:cs="Arial"/>
          <w:b/>
          <w:color w:val="FF0000"/>
          <w:sz w:val="32"/>
          <w:szCs w:val="20"/>
          <w:lang w:val="en-GB"/>
        </w:rPr>
        <w:t xml:space="preserve"> </w:t>
      </w:r>
      <w:r w:rsidRPr="00AA57D2">
        <w:rPr>
          <w:rFonts w:ascii="Arial" w:hAnsi="Arial" w:cs="Arial"/>
          <w:b/>
          <w:color w:val="FF0000"/>
          <w:sz w:val="32"/>
          <w:szCs w:val="20"/>
          <w:lang w:val="en-GB"/>
        </w:rPr>
        <w:t>every day, year after year.</w:t>
      </w:r>
      <w:r w:rsidRPr="00E44079">
        <w:rPr>
          <w:rFonts w:ascii="Arial" w:hAnsi="Arial" w:cs="Arial"/>
          <w:color w:val="000000"/>
          <w:sz w:val="32"/>
          <w:szCs w:val="20"/>
          <w:lang w:val="en-GB"/>
        </w:rPr>
        <w:t xml:space="preserve"> </w:t>
      </w:r>
      <w:r w:rsidR="00397BD0" w:rsidRPr="00E44079">
        <w:rPr>
          <w:rFonts w:ascii="Arial" w:hAnsi="Arial" w:cs="Arial"/>
          <w:color w:val="000000"/>
          <w:sz w:val="32"/>
          <w:szCs w:val="20"/>
          <w:lang w:val="en-GB"/>
        </w:rPr>
        <w:t xml:space="preserve">Throughout Central America, thousands of banana plantation workers suffered from sterilization due to their exposure to the pesticide </w:t>
      </w:r>
      <w:proofErr w:type="spellStart"/>
      <w:r w:rsidR="00397BD0" w:rsidRPr="00E44079">
        <w:rPr>
          <w:rFonts w:ascii="Arial" w:hAnsi="Arial" w:cs="Arial"/>
          <w:color w:val="000000"/>
          <w:sz w:val="32"/>
          <w:szCs w:val="20"/>
          <w:lang w:val="en-GB"/>
        </w:rPr>
        <w:t>Nemagon</w:t>
      </w:r>
      <w:proofErr w:type="spellEnd"/>
      <w:r w:rsidR="00397BD0" w:rsidRPr="00E44079">
        <w:rPr>
          <w:rFonts w:ascii="Arial" w:hAnsi="Arial" w:cs="Arial"/>
          <w:color w:val="000000"/>
          <w:sz w:val="32"/>
          <w:szCs w:val="20"/>
          <w:lang w:val="en-GB"/>
        </w:rPr>
        <w:t>, a product of Dow</w:t>
      </w:r>
      <w:r w:rsidR="006F708D" w:rsidRPr="00E44079">
        <w:rPr>
          <w:rFonts w:ascii="Arial" w:hAnsi="Arial" w:cs="Arial"/>
          <w:color w:val="000000"/>
          <w:sz w:val="32"/>
          <w:szCs w:val="20"/>
          <w:lang w:val="en-GB"/>
        </w:rPr>
        <w:t xml:space="preserve"> </w:t>
      </w:r>
      <w:r w:rsidR="00FE0331" w:rsidRPr="00E44079">
        <w:rPr>
          <w:rFonts w:ascii="Arial" w:hAnsi="Arial" w:cs="Arial"/>
          <w:color w:val="000000"/>
          <w:sz w:val="32"/>
          <w:szCs w:val="20"/>
          <w:lang w:val="en-GB"/>
        </w:rPr>
        <w:t xml:space="preserve">from 1970s to 1990s. </w:t>
      </w:r>
      <w:r w:rsidR="00397BD0" w:rsidRPr="00E44079">
        <w:rPr>
          <w:rFonts w:ascii="Arial" w:hAnsi="Arial" w:cs="Arial"/>
          <w:color w:val="000000"/>
          <w:sz w:val="32"/>
          <w:szCs w:val="20"/>
          <w:lang w:val="en-GB"/>
        </w:rPr>
        <w:t xml:space="preserve"> In India, Monsanto and Bayer hire more than 400,000 children each year to grow genetically modified cotton. These children work long hours, get paid less than the </w:t>
      </w:r>
      <w:r w:rsidRPr="00E44079">
        <w:rPr>
          <w:rFonts w:ascii="Arial" w:hAnsi="Arial" w:cs="Arial"/>
          <w:color w:val="000000"/>
          <w:sz w:val="32"/>
          <w:szCs w:val="20"/>
          <w:lang w:val="en-GB"/>
        </w:rPr>
        <w:t xml:space="preserve">legal </w:t>
      </w:r>
      <w:r w:rsidR="00397BD0" w:rsidRPr="00E44079">
        <w:rPr>
          <w:rFonts w:ascii="Arial" w:hAnsi="Arial" w:cs="Arial"/>
          <w:color w:val="000000"/>
          <w:sz w:val="32"/>
          <w:szCs w:val="20"/>
          <w:lang w:val="en-GB"/>
        </w:rPr>
        <w:t>minimum wage, and are exposed to highly hazardous pesticides</w:t>
      </w:r>
      <w:r w:rsidRPr="00E44079">
        <w:rPr>
          <w:rFonts w:ascii="Arial" w:hAnsi="Arial" w:cs="Arial"/>
          <w:color w:val="000000"/>
          <w:sz w:val="32"/>
          <w:szCs w:val="20"/>
          <w:lang w:val="en-GB"/>
        </w:rPr>
        <w:t xml:space="preserve"> </w:t>
      </w:r>
      <w:r w:rsidRPr="00E44079">
        <w:rPr>
          <w:rFonts w:ascii="Arial" w:hAnsi="Arial" w:cs="Arial"/>
          <w:sz w:val="32"/>
          <w:szCs w:val="20"/>
          <w:lang w:val="en-GB"/>
        </w:rPr>
        <w:t>produced by these same companies</w:t>
      </w:r>
      <w:r w:rsidR="00397BD0" w:rsidRPr="00E44079">
        <w:rPr>
          <w:rFonts w:ascii="Arial" w:hAnsi="Arial" w:cs="Arial"/>
          <w:sz w:val="32"/>
          <w:szCs w:val="20"/>
          <w:lang w:val="en-GB"/>
        </w:rPr>
        <w:t>. In</w:t>
      </w:r>
      <w:r w:rsidR="00397BD0" w:rsidRPr="00E44079">
        <w:rPr>
          <w:rFonts w:ascii="Arial" w:hAnsi="Arial" w:cs="Arial"/>
          <w:color w:val="000000"/>
          <w:sz w:val="32"/>
          <w:szCs w:val="20"/>
          <w:lang w:val="en-GB"/>
        </w:rPr>
        <w:t xml:space="preserve"> 2007, guards from </w:t>
      </w:r>
      <w:r w:rsidRPr="00E44079">
        <w:rPr>
          <w:rFonts w:ascii="Arial" w:hAnsi="Arial" w:cs="Arial"/>
          <w:color w:val="000000"/>
          <w:sz w:val="32"/>
          <w:szCs w:val="20"/>
          <w:lang w:val="en-GB"/>
        </w:rPr>
        <w:t xml:space="preserve">the security company </w:t>
      </w:r>
      <w:r w:rsidRPr="00E44079">
        <w:rPr>
          <w:rFonts w:ascii="Arial" w:hAnsi="Arial" w:cs="Arial"/>
          <w:color w:val="000000"/>
          <w:sz w:val="32"/>
          <w:szCs w:val="20"/>
          <w:lang w:val="en-GB"/>
        </w:rPr>
        <w:lastRenderedPageBreak/>
        <w:t xml:space="preserve">hired by </w:t>
      </w:r>
      <w:r w:rsidR="00397BD0" w:rsidRPr="00E44079">
        <w:rPr>
          <w:rFonts w:ascii="Arial" w:hAnsi="Arial" w:cs="Arial"/>
          <w:color w:val="000000"/>
          <w:sz w:val="32"/>
          <w:szCs w:val="20"/>
          <w:lang w:val="en-GB"/>
        </w:rPr>
        <w:t xml:space="preserve">Syngenta, in Brazil shot and killed one activist and injured many who were peacefully protesting the land grabbing of the company to grow genetically engineered crops.   </w:t>
      </w:r>
      <w:r w:rsidR="00397BD0" w:rsidRPr="00A36F72">
        <w:rPr>
          <w:rFonts w:ascii="Arial" w:hAnsi="Arial" w:cs="Arial"/>
          <w:b/>
          <w:color w:val="FF0000"/>
          <w:sz w:val="32"/>
          <w:szCs w:val="20"/>
          <w:lang w:val="en-GB"/>
        </w:rPr>
        <w:t xml:space="preserve">In 2006, Bayer announced that </w:t>
      </w:r>
      <w:proofErr w:type="gramStart"/>
      <w:r w:rsidR="00397BD0" w:rsidRPr="00A36F72">
        <w:rPr>
          <w:rFonts w:ascii="Arial" w:hAnsi="Arial" w:cs="Arial"/>
          <w:b/>
          <w:color w:val="FF0000"/>
          <w:sz w:val="32"/>
          <w:szCs w:val="20"/>
          <w:lang w:val="en-GB"/>
        </w:rPr>
        <w:t>its</w:t>
      </w:r>
      <w:proofErr w:type="gramEnd"/>
      <w:r w:rsidR="00397BD0" w:rsidRPr="00A36F72">
        <w:rPr>
          <w:rFonts w:ascii="Arial" w:hAnsi="Arial" w:cs="Arial"/>
          <w:b/>
          <w:color w:val="FF0000"/>
          <w:sz w:val="32"/>
          <w:szCs w:val="20"/>
          <w:lang w:val="en-GB"/>
        </w:rPr>
        <w:t xml:space="preserve"> genetically engineered rice, Liberty Link</w:t>
      </w:r>
      <w:r w:rsidRPr="00A36F72">
        <w:rPr>
          <w:rFonts w:ascii="Arial" w:hAnsi="Arial" w:cs="Arial"/>
          <w:b/>
          <w:color w:val="FF0000"/>
          <w:sz w:val="32"/>
          <w:szCs w:val="20"/>
          <w:lang w:val="en-GB"/>
        </w:rPr>
        <w:t>—</w:t>
      </w:r>
      <w:r w:rsidR="00397BD0" w:rsidRPr="00A36F72">
        <w:rPr>
          <w:rFonts w:ascii="Arial" w:hAnsi="Arial" w:cs="Arial"/>
          <w:b/>
          <w:color w:val="FF0000"/>
          <w:sz w:val="32"/>
          <w:szCs w:val="20"/>
          <w:lang w:val="en-GB"/>
        </w:rPr>
        <w:t>not approved for human consumption</w:t>
      </w:r>
      <w:r w:rsidRPr="00A36F72">
        <w:rPr>
          <w:rFonts w:ascii="Arial" w:hAnsi="Arial" w:cs="Arial"/>
          <w:b/>
          <w:color w:val="FF0000"/>
          <w:sz w:val="32"/>
          <w:szCs w:val="20"/>
          <w:lang w:val="en-GB"/>
        </w:rPr>
        <w:t>—</w:t>
      </w:r>
      <w:r w:rsidR="00397BD0" w:rsidRPr="00A36F72">
        <w:rPr>
          <w:rFonts w:ascii="Arial" w:hAnsi="Arial" w:cs="Arial"/>
          <w:b/>
          <w:color w:val="FF0000"/>
          <w:sz w:val="32"/>
          <w:szCs w:val="20"/>
          <w:lang w:val="en-GB"/>
        </w:rPr>
        <w:t xml:space="preserve">had contaminated US rice production and rice exports to Europe and </w:t>
      </w:r>
      <w:r w:rsidRPr="00A36F72">
        <w:rPr>
          <w:rFonts w:ascii="Arial" w:hAnsi="Arial" w:cs="Arial"/>
          <w:b/>
          <w:color w:val="FF0000"/>
          <w:sz w:val="32"/>
          <w:szCs w:val="20"/>
          <w:lang w:val="en-GB"/>
        </w:rPr>
        <w:t xml:space="preserve">many other countries in </w:t>
      </w:r>
      <w:r w:rsidR="00397BD0" w:rsidRPr="00A36F72">
        <w:rPr>
          <w:rFonts w:ascii="Arial" w:hAnsi="Arial" w:cs="Arial"/>
          <w:b/>
          <w:color w:val="FF0000"/>
          <w:sz w:val="32"/>
          <w:szCs w:val="20"/>
          <w:lang w:val="en-GB"/>
        </w:rPr>
        <w:t xml:space="preserve">the world.   </w:t>
      </w:r>
    </w:p>
    <w:p w:rsidR="00397BD0" w:rsidRPr="00E44079" w:rsidRDefault="00397BD0" w:rsidP="00397BD0">
      <w:pPr>
        <w:rPr>
          <w:rFonts w:ascii="Arial" w:hAnsi="Arial" w:cs="Arial"/>
          <w:color w:val="000000"/>
          <w:sz w:val="32"/>
          <w:szCs w:val="20"/>
          <w:lang w:val="en-GB"/>
        </w:rPr>
      </w:pPr>
      <w:r w:rsidRPr="00E44079">
        <w:rPr>
          <w:rFonts w:ascii="Arial" w:hAnsi="Arial" w:cs="Arial"/>
          <w:color w:val="000000"/>
          <w:sz w:val="32"/>
          <w:szCs w:val="20"/>
          <w:lang w:val="en-GB"/>
        </w:rPr>
        <w:t xml:space="preserve"> </w:t>
      </w:r>
    </w:p>
    <w:p w:rsidR="00D8678C" w:rsidRPr="00E44079" w:rsidRDefault="00D8678C" w:rsidP="00D8678C">
      <w:pPr>
        <w:rPr>
          <w:rFonts w:ascii="Arial" w:hAnsi="Arial" w:cs="Arial"/>
          <w:sz w:val="32"/>
          <w:szCs w:val="20"/>
        </w:rPr>
      </w:pPr>
      <w:r w:rsidRPr="00E44079">
        <w:rPr>
          <w:rFonts w:ascii="Arial" w:hAnsi="Arial" w:cs="Arial"/>
          <w:color w:val="000000"/>
          <w:sz w:val="32"/>
          <w:szCs w:val="20"/>
          <w:lang w:val="en-GB"/>
        </w:rPr>
        <w:t xml:space="preserve">There were many contributing factors for the food crisis in 2008 that was accompanied by food riots and increased numbers of hungry and malnourished. However one major contributing factor was the market manipulation of </w:t>
      </w:r>
      <w:proofErr w:type="spellStart"/>
      <w:r w:rsidRPr="00E44079">
        <w:rPr>
          <w:rFonts w:ascii="Arial" w:hAnsi="Arial" w:cs="Arial"/>
          <w:color w:val="000000"/>
          <w:sz w:val="32"/>
          <w:szCs w:val="20"/>
          <w:lang w:val="en-GB"/>
        </w:rPr>
        <w:t>agri</w:t>
      </w:r>
      <w:proofErr w:type="spellEnd"/>
      <w:r w:rsidRPr="00E44079">
        <w:rPr>
          <w:rFonts w:ascii="Arial" w:hAnsi="Arial" w:cs="Arial"/>
          <w:color w:val="000000"/>
          <w:sz w:val="32"/>
          <w:szCs w:val="20"/>
          <w:lang w:val="en-GB"/>
        </w:rPr>
        <w:t xml:space="preserve">-TNC and financial speculators, cashing in on a decline in global food stock reserves and the conversion of food crops to </w:t>
      </w:r>
      <w:proofErr w:type="spellStart"/>
      <w:r w:rsidRPr="00E44079">
        <w:rPr>
          <w:rFonts w:ascii="Arial" w:hAnsi="Arial" w:cs="Arial"/>
          <w:color w:val="000000"/>
          <w:sz w:val="32"/>
          <w:szCs w:val="20"/>
          <w:lang w:val="en-GB"/>
        </w:rPr>
        <w:t>agrofuels</w:t>
      </w:r>
      <w:proofErr w:type="spellEnd"/>
      <w:r w:rsidRPr="00E44079">
        <w:rPr>
          <w:rFonts w:ascii="Arial" w:hAnsi="Arial" w:cs="Arial"/>
          <w:color w:val="000000"/>
          <w:sz w:val="32"/>
          <w:szCs w:val="20"/>
          <w:lang w:val="en-GB"/>
        </w:rPr>
        <w:t xml:space="preserve"> for cars.  This added about 150 million, mostly women and children to the ranks of the world’s hungry bringing the total headcou</w:t>
      </w:r>
      <w:bookmarkStart w:id="0" w:name="_GoBack"/>
      <w:bookmarkEnd w:id="0"/>
      <w:r w:rsidRPr="00E44079">
        <w:rPr>
          <w:rFonts w:ascii="Arial" w:hAnsi="Arial" w:cs="Arial"/>
          <w:color w:val="000000"/>
          <w:sz w:val="32"/>
          <w:szCs w:val="20"/>
          <w:lang w:val="en-GB"/>
        </w:rPr>
        <w:t xml:space="preserve">nt to over a billion in 2009.  </w:t>
      </w:r>
      <w:r w:rsidRPr="00E44079">
        <w:rPr>
          <w:rFonts w:ascii="Arial" w:hAnsi="Arial" w:cs="Arial"/>
          <w:sz w:val="32"/>
          <w:szCs w:val="20"/>
        </w:rPr>
        <w:t xml:space="preserve">Ironically, while the world was lamenting food shortages, the giant </w:t>
      </w:r>
      <w:proofErr w:type="spellStart"/>
      <w:r w:rsidRPr="00E44079">
        <w:rPr>
          <w:rFonts w:ascii="Arial" w:hAnsi="Arial" w:cs="Arial"/>
          <w:sz w:val="32"/>
          <w:szCs w:val="20"/>
        </w:rPr>
        <w:t>agri</w:t>
      </w:r>
      <w:proofErr w:type="spellEnd"/>
      <w:r w:rsidRPr="00E44079">
        <w:rPr>
          <w:rFonts w:ascii="Arial" w:hAnsi="Arial" w:cs="Arial"/>
          <w:sz w:val="32"/>
          <w:szCs w:val="20"/>
        </w:rPr>
        <w:t xml:space="preserve">-TNCs such as Cargill and Archer Daniels Midland increased their profits from </w:t>
      </w:r>
      <w:r w:rsidRPr="00E44079">
        <w:rPr>
          <w:rStyle w:val="main"/>
          <w:rFonts w:ascii="Arial" w:hAnsi="Arial" w:cs="Arial"/>
          <w:sz w:val="32"/>
          <w:szCs w:val="20"/>
        </w:rPr>
        <w:t xml:space="preserve">commodity trading in </w:t>
      </w:r>
      <w:r w:rsidRPr="00E44079">
        <w:rPr>
          <w:rFonts w:ascii="Arial" w:hAnsi="Arial" w:cs="Arial"/>
          <w:sz w:val="32"/>
          <w:szCs w:val="20"/>
        </w:rPr>
        <w:t>the first quarter of 2008 by 86% and 67%, respectively</w:t>
      </w:r>
      <w:r w:rsidRPr="00E44079">
        <w:rPr>
          <w:rStyle w:val="FootnoteReference"/>
          <w:rFonts w:ascii="Arial" w:hAnsi="Arial" w:cs="Arial"/>
          <w:sz w:val="32"/>
          <w:szCs w:val="20"/>
        </w:rPr>
        <w:footnoteReference w:id="3"/>
      </w:r>
      <w:r w:rsidRPr="00E44079">
        <w:rPr>
          <w:rFonts w:ascii="Arial" w:hAnsi="Arial" w:cs="Arial"/>
          <w:sz w:val="32"/>
          <w:szCs w:val="20"/>
        </w:rPr>
        <w:t xml:space="preserve">.  </w:t>
      </w:r>
    </w:p>
    <w:p w:rsidR="00D8678C" w:rsidRPr="00E44079" w:rsidRDefault="00D8678C" w:rsidP="00397BD0">
      <w:pPr>
        <w:rPr>
          <w:rFonts w:ascii="Arial" w:hAnsi="Arial" w:cs="Arial"/>
          <w:color w:val="000000"/>
          <w:sz w:val="32"/>
          <w:szCs w:val="20"/>
          <w:lang w:val="en-GB"/>
        </w:rPr>
      </w:pPr>
    </w:p>
    <w:p w:rsidR="002A7D11" w:rsidRPr="00AA57D2" w:rsidRDefault="00D902C6" w:rsidP="002A7D11">
      <w:pPr>
        <w:rPr>
          <w:rFonts w:ascii="Arial" w:hAnsi="Arial" w:cs="Arial"/>
          <w:b/>
          <w:color w:val="000000"/>
          <w:sz w:val="32"/>
          <w:szCs w:val="20"/>
          <w:lang w:val="en-US"/>
        </w:rPr>
      </w:pPr>
      <w:r w:rsidRPr="00AA57D2">
        <w:rPr>
          <w:rFonts w:ascii="Arial" w:hAnsi="Arial" w:cs="Arial"/>
          <w:b/>
          <w:color w:val="000000"/>
          <w:sz w:val="32"/>
          <w:szCs w:val="20"/>
          <w:lang w:val="en-US"/>
        </w:rPr>
        <w:t>Overall, t</w:t>
      </w:r>
      <w:r w:rsidR="0076026C" w:rsidRPr="00AA57D2">
        <w:rPr>
          <w:rFonts w:ascii="Arial" w:hAnsi="Arial" w:cs="Arial"/>
          <w:b/>
          <w:color w:val="000000"/>
          <w:sz w:val="32"/>
          <w:szCs w:val="20"/>
          <w:lang w:val="en-US"/>
        </w:rPr>
        <w:t>he impact of g</w:t>
      </w:r>
      <w:r w:rsidR="00397BD0" w:rsidRPr="00AA57D2">
        <w:rPr>
          <w:rFonts w:ascii="Arial" w:hAnsi="Arial" w:cs="Arial"/>
          <w:b/>
          <w:color w:val="000000"/>
          <w:sz w:val="32"/>
          <w:szCs w:val="20"/>
          <w:lang w:val="en-US"/>
        </w:rPr>
        <w:t xml:space="preserve">lobal corporate control over land, agriculture, food production and marketing is devastating.  Corporate agriculture creates environmental, health and social trauma in every corner of the world, causing hunger, disease and ecosystem collapse. </w:t>
      </w:r>
      <w:r w:rsidR="002A7D11" w:rsidRPr="00AA57D2">
        <w:rPr>
          <w:rFonts w:ascii="Arial" w:hAnsi="Arial" w:cs="Arial"/>
          <w:b/>
          <w:color w:val="000000"/>
          <w:sz w:val="32"/>
          <w:szCs w:val="20"/>
          <w:lang w:val="en-US"/>
        </w:rPr>
        <w:t xml:space="preserve">Corporate-controlled industrial food and farming systems deny communities control over their own food and future in many ways such as grabbing their land; forcing upon them unsustainable and unsafe farming practices; making them dependent on the corporate package of high-cost inputs (seeds, chemical pesticides and synthetic fertilizers) that also expose </w:t>
      </w:r>
      <w:r w:rsidR="006853FF" w:rsidRPr="00AA57D2">
        <w:rPr>
          <w:rFonts w:ascii="Arial" w:hAnsi="Arial" w:cs="Arial"/>
          <w:b/>
          <w:color w:val="000000"/>
          <w:sz w:val="32"/>
          <w:szCs w:val="20"/>
          <w:lang w:val="en-US"/>
        </w:rPr>
        <w:t xml:space="preserve">them to poisonous chemicals, </w:t>
      </w:r>
      <w:r w:rsidR="002A7D11" w:rsidRPr="00AA57D2">
        <w:rPr>
          <w:rFonts w:ascii="Arial" w:hAnsi="Arial" w:cs="Arial"/>
          <w:b/>
          <w:color w:val="000000"/>
          <w:sz w:val="32"/>
          <w:szCs w:val="20"/>
          <w:lang w:val="en-US"/>
        </w:rPr>
        <w:t>degrade their land</w:t>
      </w:r>
      <w:r w:rsidR="006853FF" w:rsidRPr="00AA57D2">
        <w:rPr>
          <w:rFonts w:ascii="Arial" w:hAnsi="Arial" w:cs="Arial"/>
          <w:b/>
          <w:color w:val="000000"/>
          <w:sz w:val="32"/>
          <w:szCs w:val="20"/>
          <w:lang w:val="en-US"/>
        </w:rPr>
        <w:t>, pollute their environment</w:t>
      </w:r>
      <w:r w:rsidR="002A7D11" w:rsidRPr="00AA57D2">
        <w:rPr>
          <w:rFonts w:ascii="Arial" w:hAnsi="Arial" w:cs="Arial"/>
          <w:b/>
          <w:color w:val="000000"/>
          <w:sz w:val="32"/>
          <w:szCs w:val="20"/>
          <w:lang w:val="en-US"/>
        </w:rPr>
        <w:t xml:space="preserve">; making them grow food that is not culturally acceptable to them; and robbing them of their ownership of seeds. In the process of doing all this, they violate the human rights and food sovereignty of these farming communities. </w:t>
      </w:r>
    </w:p>
    <w:p w:rsidR="002A7D11" w:rsidRPr="00E44079" w:rsidRDefault="002A7D11" w:rsidP="00397BD0">
      <w:pPr>
        <w:rPr>
          <w:rFonts w:ascii="Arial" w:hAnsi="Arial" w:cs="Arial"/>
          <w:color w:val="000000"/>
          <w:sz w:val="32"/>
          <w:szCs w:val="20"/>
          <w:lang w:val="en-US"/>
        </w:rPr>
      </w:pPr>
    </w:p>
    <w:p w:rsidR="00833D73" w:rsidRPr="00E44079" w:rsidRDefault="004A25FD" w:rsidP="00833D73">
      <w:pPr>
        <w:rPr>
          <w:rStyle w:val="Absatz-Standardschriftart"/>
          <w:rFonts w:ascii="Arial" w:hAnsi="Arial" w:cs="Arial"/>
          <w:bCs/>
          <w:color w:val="000000"/>
          <w:sz w:val="32"/>
          <w:szCs w:val="20"/>
        </w:rPr>
      </w:pPr>
      <w:r w:rsidRPr="00E44079">
        <w:rPr>
          <w:rFonts w:ascii="Arial" w:hAnsi="Arial" w:cs="Arial"/>
          <w:color w:val="000000"/>
          <w:sz w:val="32"/>
          <w:szCs w:val="20"/>
          <w:lang w:val="en-US" w:bidi="en-US"/>
        </w:rPr>
        <w:t>T</w:t>
      </w:r>
      <w:r w:rsidRPr="00E44079">
        <w:rPr>
          <w:rFonts w:ascii="Arial" w:hAnsi="Arial" w:cs="Arial"/>
          <w:color w:val="000000"/>
          <w:sz w:val="32"/>
          <w:szCs w:val="20"/>
        </w:rPr>
        <w:t xml:space="preserve">he over-use of synthetic fertilizers marketed by agrochemical companies has degraded precious water and land resources.  </w:t>
      </w:r>
      <w:r w:rsidRPr="00E44079">
        <w:rPr>
          <w:rStyle w:val="Absatz-Standardschriftart"/>
          <w:rFonts w:ascii="Arial" w:hAnsi="Arial" w:cs="Arial"/>
          <w:bCs/>
          <w:color w:val="000000"/>
          <w:sz w:val="32"/>
          <w:szCs w:val="20"/>
        </w:rPr>
        <w:t>The IAASTD report (2008) unequivocally concluded that the toxic model of (corporate) agriculture has resulted in the degradation of 1.9 billion hectares of land worldwide.</w:t>
      </w:r>
      <w:r w:rsidR="00D902C6" w:rsidRPr="00E44079">
        <w:rPr>
          <w:rStyle w:val="Absatz-Standardschriftart"/>
          <w:rFonts w:ascii="Arial" w:hAnsi="Arial" w:cs="Arial"/>
          <w:bCs/>
          <w:color w:val="000000"/>
          <w:sz w:val="32"/>
          <w:szCs w:val="20"/>
        </w:rPr>
        <w:t xml:space="preserve">  </w:t>
      </w:r>
      <w:r w:rsidR="00833D73" w:rsidRPr="00E44079">
        <w:rPr>
          <w:rFonts w:ascii="Arial" w:hAnsi="Arial" w:cs="Arial"/>
          <w:color w:val="000000"/>
          <w:sz w:val="32"/>
          <w:szCs w:val="20"/>
          <w:lang w:val="en-US" w:bidi="en-US"/>
        </w:rPr>
        <w:t xml:space="preserve">The introduction of </w:t>
      </w:r>
      <w:r w:rsidR="00D902C6" w:rsidRPr="00E44079">
        <w:rPr>
          <w:rFonts w:ascii="Arial" w:hAnsi="Arial" w:cs="Arial"/>
          <w:color w:val="000000"/>
          <w:sz w:val="32"/>
          <w:szCs w:val="20"/>
          <w:lang w:val="en-US" w:bidi="en-US"/>
        </w:rPr>
        <w:t>GE</w:t>
      </w:r>
      <w:r w:rsidR="00833D73" w:rsidRPr="00E44079">
        <w:rPr>
          <w:rFonts w:ascii="Arial" w:hAnsi="Arial" w:cs="Arial"/>
          <w:color w:val="000000"/>
          <w:sz w:val="32"/>
          <w:szCs w:val="20"/>
          <w:lang w:val="en-US" w:bidi="en-US"/>
        </w:rPr>
        <w:t xml:space="preserve"> crops</w:t>
      </w:r>
      <w:r w:rsidR="00833D73" w:rsidRPr="00E44079">
        <w:rPr>
          <w:rFonts w:ascii="Arial" w:hAnsi="Arial" w:cs="Arial"/>
          <w:color w:val="FF0000"/>
          <w:sz w:val="32"/>
          <w:szCs w:val="20"/>
          <w:lang w:val="en-US" w:bidi="en-US"/>
        </w:rPr>
        <w:t xml:space="preserve"> </w:t>
      </w:r>
      <w:r w:rsidR="00833D73" w:rsidRPr="00E44079">
        <w:rPr>
          <w:rFonts w:ascii="Arial" w:hAnsi="Arial" w:cs="Arial"/>
          <w:sz w:val="32"/>
          <w:szCs w:val="20"/>
          <w:lang w:val="en-US" w:bidi="en-US"/>
        </w:rPr>
        <w:t>by TNCs is</w:t>
      </w:r>
      <w:r w:rsidR="00833D73" w:rsidRPr="00E44079">
        <w:rPr>
          <w:rFonts w:ascii="Arial" w:hAnsi="Arial" w:cs="Arial"/>
          <w:color w:val="000000"/>
          <w:sz w:val="32"/>
          <w:szCs w:val="20"/>
          <w:lang w:val="en-US" w:bidi="en-US"/>
        </w:rPr>
        <w:t xml:space="preserve"> increasingly narrowing the agro-biodiversity in the fields and reports of health impacts and environmental contamination of GE crops are nothing less than alarming.  </w:t>
      </w:r>
    </w:p>
    <w:p w:rsidR="00833D73" w:rsidRPr="00E44079" w:rsidRDefault="000A5FCE" w:rsidP="00833D73">
      <w:pPr>
        <w:pStyle w:val="Normal10pt"/>
        <w:spacing w:before="144" w:after="144"/>
        <w:rPr>
          <w:rFonts w:ascii="Arial" w:hAnsi="Arial" w:cs="Arial"/>
          <w:sz w:val="32"/>
          <w:szCs w:val="20"/>
        </w:rPr>
      </w:pPr>
      <w:r w:rsidRPr="00E44079">
        <w:rPr>
          <w:rFonts w:ascii="Arial" w:hAnsi="Arial" w:cs="Arial"/>
          <w:sz w:val="32"/>
          <w:szCs w:val="20"/>
        </w:rPr>
        <w:t>TNC dominance</w:t>
      </w:r>
      <w:r w:rsidRPr="00E44079">
        <w:rPr>
          <w:rFonts w:ascii="Arial" w:hAnsi="Arial" w:cs="Arial"/>
          <w:color w:val="FF0000"/>
          <w:sz w:val="32"/>
          <w:szCs w:val="20"/>
        </w:rPr>
        <w:t xml:space="preserve"> </w:t>
      </w:r>
      <w:r w:rsidRPr="00E44079">
        <w:rPr>
          <w:rFonts w:ascii="Arial" w:hAnsi="Arial" w:cs="Arial"/>
          <w:color w:val="000000"/>
          <w:sz w:val="32"/>
          <w:szCs w:val="20"/>
          <w:lang w:bidi="en-US"/>
        </w:rPr>
        <w:t xml:space="preserve">over </w:t>
      </w:r>
      <w:r w:rsidR="003644CE" w:rsidRPr="00E44079">
        <w:rPr>
          <w:rFonts w:ascii="Arial" w:hAnsi="Arial" w:cs="Arial"/>
          <w:color w:val="000000"/>
          <w:sz w:val="32"/>
          <w:szCs w:val="20"/>
          <w:lang w:bidi="en-US"/>
        </w:rPr>
        <w:t xml:space="preserve">seeds and </w:t>
      </w:r>
      <w:proofErr w:type="spellStart"/>
      <w:r w:rsidR="003644CE" w:rsidRPr="00E44079">
        <w:rPr>
          <w:rFonts w:ascii="Arial" w:hAnsi="Arial" w:cs="Arial"/>
          <w:color w:val="000000"/>
          <w:sz w:val="32"/>
          <w:szCs w:val="20"/>
          <w:lang w:bidi="en-US"/>
        </w:rPr>
        <w:t>germplasm</w:t>
      </w:r>
      <w:proofErr w:type="spellEnd"/>
      <w:r w:rsidR="003644CE" w:rsidRPr="00E44079">
        <w:rPr>
          <w:rFonts w:ascii="Arial" w:hAnsi="Arial" w:cs="Arial"/>
          <w:color w:val="000000"/>
          <w:sz w:val="32"/>
          <w:szCs w:val="20"/>
          <w:lang w:bidi="en-US"/>
        </w:rPr>
        <w:t xml:space="preserve"> through </w:t>
      </w:r>
      <w:r w:rsidRPr="00E44079">
        <w:rPr>
          <w:rFonts w:ascii="Arial" w:hAnsi="Arial" w:cs="Arial"/>
          <w:color w:val="000000"/>
          <w:sz w:val="32"/>
          <w:szCs w:val="20"/>
          <w:lang w:bidi="en-US"/>
        </w:rPr>
        <w:t xml:space="preserve">the </w:t>
      </w:r>
      <w:r w:rsidR="003644CE" w:rsidRPr="00E44079">
        <w:rPr>
          <w:rFonts w:ascii="Arial" w:hAnsi="Arial" w:cs="Arial"/>
          <w:color w:val="000000"/>
          <w:sz w:val="32"/>
          <w:szCs w:val="20"/>
          <w:lang w:bidi="en-US"/>
        </w:rPr>
        <w:t>intellectual property rights</w:t>
      </w:r>
      <w:r w:rsidRPr="00E44079">
        <w:rPr>
          <w:rFonts w:ascii="Arial" w:hAnsi="Arial" w:cs="Arial"/>
          <w:color w:val="000000"/>
          <w:sz w:val="32"/>
          <w:szCs w:val="20"/>
          <w:lang w:bidi="en-US"/>
        </w:rPr>
        <w:t xml:space="preserve"> regime</w:t>
      </w:r>
      <w:r w:rsidR="003644CE" w:rsidRPr="00E44079">
        <w:rPr>
          <w:rFonts w:ascii="Arial" w:hAnsi="Arial" w:cs="Arial"/>
          <w:color w:val="000000"/>
          <w:sz w:val="32"/>
          <w:szCs w:val="20"/>
          <w:lang w:bidi="en-US"/>
        </w:rPr>
        <w:t xml:space="preserve"> is destroying farmer’s local knowledge, skills and innovation</w:t>
      </w:r>
      <w:r w:rsidRPr="00E44079">
        <w:rPr>
          <w:rFonts w:ascii="Arial" w:hAnsi="Arial" w:cs="Arial"/>
          <w:color w:val="000000"/>
          <w:sz w:val="32"/>
          <w:szCs w:val="20"/>
          <w:lang w:bidi="en-US"/>
        </w:rPr>
        <w:t>;</w:t>
      </w:r>
      <w:r w:rsidR="003644CE" w:rsidRPr="00E44079">
        <w:rPr>
          <w:rFonts w:ascii="Arial" w:hAnsi="Arial" w:cs="Arial"/>
          <w:color w:val="000000"/>
          <w:sz w:val="32"/>
          <w:szCs w:val="20"/>
          <w:lang w:bidi="en-US"/>
        </w:rPr>
        <w:t xml:space="preserve"> </w:t>
      </w:r>
      <w:r w:rsidR="006A419A" w:rsidRPr="00E44079">
        <w:rPr>
          <w:rFonts w:ascii="Arial" w:hAnsi="Arial" w:cs="Arial"/>
          <w:color w:val="000000"/>
          <w:sz w:val="32"/>
          <w:szCs w:val="20"/>
        </w:rPr>
        <w:t>hampering farmer innovation in seed conservation</w:t>
      </w:r>
      <w:r w:rsidRPr="00E44079">
        <w:rPr>
          <w:rFonts w:ascii="Arial" w:hAnsi="Arial" w:cs="Arial"/>
          <w:color w:val="000000"/>
          <w:sz w:val="32"/>
          <w:szCs w:val="20"/>
        </w:rPr>
        <w:t>;</w:t>
      </w:r>
      <w:r w:rsidR="006A419A" w:rsidRPr="00E44079">
        <w:rPr>
          <w:rFonts w:ascii="Arial" w:hAnsi="Arial" w:cs="Arial"/>
          <w:color w:val="000000"/>
          <w:sz w:val="32"/>
          <w:szCs w:val="20"/>
        </w:rPr>
        <w:t xml:space="preserve"> and perpetuating the cycle of dependency and debt.  </w:t>
      </w:r>
      <w:r w:rsidRPr="00E44079">
        <w:rPr>
          <w:rFonts w:ascii="Arial" w:hAnsi="Arial" w:cs="Arial"/>
          <w:sz w:val="32"/>
          <w:szCs w:val="20"/>
        </w:rPr>
        <w:t>It has eroded the role of women in farming in particular as they were originally the custodians of seeds in traditional farms</w:t>
      </w:r>
      <w:r w:rsidR="00633071" w:rsidRPr="00E44079">
        <w:rPr>
          <w:rFonts w:ascii="Arial" w:hAnsi="Arial" w:cs="Arial"/>
          <w:sz w:val="32"/>
          <w:szCs w:val="20"/>
        </w:rPr>
        <w:t>.</w:t>
      </w:r>
      <w:r w:rsidR="00633071" w:rsidRPr="00E44079">
        <w:rPr>
          <w:rFonts w:ascii="Arial" w:hAnsi="Arial" w:cs="Arial"/>
          <w:color w:val="FF0000"/>
          <w:sz w:val="32"/>
          <w:szCs w:val="20"/>
        </w:rPr>
        <w:t xml:space="preserve"> </w:t>
      </w:r>
      <w:r w:rsidR="00CC72C8" w:rsidRPr="00E44079">
        <w:rPr>
          <w:rFonts w:ascii="Arial" w:hAnsi="Arial" w:cs="Arial"/>
          <w:color w:val="000000"/>
          <w:sz w:val="32"/>
          <w:szCs w:val="20"/>
          <w:lang w:bidi="en-US"/>
        </w:rPr>
        <w:t xml:space="preserve"> </w:t>
      </w:r>
      <w:r w:rsidRPr="00E44079">
        <w:rPr>
          <w:rFonts w:ascii="Arial" w:hAnsi="Arial" w:cs="Arial"/>
          <w:color w:val="000000"/>
          <w:sz w:val="32"/>
          <w:szCs w:val="20"/>
          <w:lang w:bidi="en-US"/>
        </w:rPr>
        <w:t xml:space="preserve"> TNC influence</w:t>
      </w:r>
      <w:r w:rsidR="00CC72C8" w:rsidRPr="00E44079">
        <w:rPr>
          <w:rFonts w:ascii="Arial" w:hAnsi="Arial" w:cs="Arial"/>
          <w:color w:val="000000"/>
          <w:sz w:val="32"/>
          <w:szCs w:val="20"/>
          <w:lang w:bidi="en-US"/>
        </w:rPr>
        <w:t xml:space="preserve"> has enabled and facilitated the patenting of genetic resources by corporations and encouraged </w:t>
      </w:r>
      <w:proofErr w:type="spellStart"/>
      <w:r w:rsidR="00CC72C8" w:rsidRPr="00E44079">
        <w:rPr>
          <w:rFonts w:ascii="Arial" w:hAnsi="Arial" w:cs="Arial"/>
          <w:color w:val="000000"/>
          <w:sz w:val="32"/>
          <w:szCs w:val="20"/>
          <w:lang w:bidi="en-US"/>
        </w:rPr>
        <w:t>biopiracy</w:t>
      </w:r>
      <w:proofErr w:type="spellEnd"/>
      <w:r w:rsidR="00CC72C8" w:rsidRPr="00E44079">
        <w:rPr>
          <w:rFonts w:ascii="Arial" w:hAnsi="Arial" w:cs="Arial"/>
          <w:color w:val="000000"/>
          <w:sz w:val="32"/>
          <w:szCs w:val="20"/>
          <w:lang w:bidi="en-US"/>
        </w:rPr>
        <w:t xml:space="preserve"> </w:t>
      </w:r>
      <w:r w:rsidR="003644CE" w:rsidRPr="00E44079">
        <w:rPr>
          <w:rFonts w:ascii="Arial" w:hAnsi="Arial" w:cs="Arial"/>
          <w:color w:val="000000"/>
          <w:sz w:val="32"/>
          <w:szCs w:val="20"/>
          <w:lang w:bidi="en-US"/>
        </w:rPr>
        <w:t xml:space="preserve">and thus protecting corporate breeders </w:t>
      </w:r>
      <w:r w:rsidR="00B9660F" w:rsidRPr="00E44079">
        <w:rPr>
          <w:rFonts w:ascii="Arial" w:hAnsi="Arial" w:cs="Arial"/>
          <w:color w:val="000000"/>
          <w:sz w:val="32"/>
          <w:szCs w:val="20"/>
          <w:lang w:bidi="en-US"/>
        </w:rPr>
        <w:t xml:space="preserve">and marginalizes the small </w:t>
      </w:r>
      <w:r w:rsidR="003644CE" w:rsidRPr="00E44079">
        <w:rPr>
          <w:rFonts w:ascii="Arial" w:hAnsi="Arial" w:cs="Arial"/>
          <w:color w:val="000000"/>
          <w:sz w:val="32"/>
          <w:szCs w:val="20"/>
          <w:lang w:bidi="en-US"/>
        </w:rPr>
        <w:t xml:space="preserve">farmers who have selected, bred and conserved genetic resources for centuries.  </w:t>
      </w:r>
      <w:r w:rsidR="00833D73" w:rsidRPr="00E44079">
        <w:rPr>
          <w:rFonts w:ascii="Arial" w:hAnsi="Arial" w:cs="Arial"/>
          <w:color w:val="000000"/>
          <w:sz w:val="32"/>
          <w:szCs w:val="20"/>
          <w:lang w:bidi="en-US"/>
        </w:rPr>
        <w:t xml:space="preserve">For example, </w:t>
      </w:r>
      <w:r w:rsidR="00833D73" w:rsidRPr="00E44079">
        <w:rPr>
          <w:rFonts w:ascii="Arial" w:hAnsi="Arial" w:cs="Arial"/>
          <w:sz w:val="32"/>
          <w:szCs w:val="20"/>
          <w:lang w:bidi="en-US"/>
        </w:rPr>
        <w:t>w</w:t>
      </w:r>
      <w:r w:rsidR="00833D73" w:rsidRPr="00E44079">
        <w:rPr>
          <w:rFonts w:ascii="Arial" w:hAnsi="Arial" w:cs="Arial"/>
          <w:sz w:val="32"/>
          <w:szCs w:val="20"/>
        </w:rPr>
        <w:t>orldwide, TRIPs now commits 150 governments to an ever-tightening IPR system.</w:t>
      </w:r>
    </w:p>
    <w:p w:rsidR="009752A1" w:rsidRPr="00E44079" w:rsidRDefault="009752A1" w:rsidP="006A419A">
      <w:pPr>
        <w:rPr>
          <w:rFonts w:ascii="Arial" w:hAnsi="Arial" w:cs="Arial"/>
          <w:sz w:val="32"/>
          <w:szCs w:val="20"/>
        </w:rPr>
      </w:pPr>
    </w:p>
    <w:p w:rsidR="00DC5E4E" w:rsidRPr="00E44079" w:rsidRDefault="00D8678C" w:rsidP="00DC5E4E">
      <w:pPr>
        <w:rPr>
          <w:rFonts w:ascii="Arial" w:hAnsi="Arial" w:cs="Arial"/>
          <w:bCs/>
          <w:color w:val="000000"/>
          <w:sz w:val="32"/>
          <w:szCs w:val="20"/>
          <w:lang w:val="en-US"/>
        </w:rPr>
      </w:pPr>
      <w:r w:rsidRPr="00E44079">
        <w:rPr>
          <w:rFonts w:ascii="Arial" w:hAnsi="Arial" w:cs="Arial"/>
          <w:bCs/>
          <w:color w:val="000000"/>
          <w:sz w:val="32"/>
          <w:szCs w:val="20"/>
          <w:lang w:val="en-GB"/>
        </w:rPr>
        <w:t xml:space="preserve">One result of the food crisis has been the intensification of large-scale land investments or land grabbing where a foreign company or </w:t>
      </w:r>
      <w:r w:rsidR="00DC5E4E" w:rsidRPr="00E44079">
        <w:rPr>
          <w:rFonts w:ascii="Arial" w:hAnsi="Arial" w:cs="Arial"/>
          <w:bCs/>
          <w:color w:val="000000"/>
          <w:sz w:val="32"/>
          <w:szCs w:val="20"/>
          <w:lang w:val="en-GB"/>
        </w:rPr>
        <w:t xml:space="preserve">investors </w:t>
      </w:r>
      <w:r w:rsidRPr="00E44079">
        <w:rPr>
          <w:rFonts w:ascii="Arial" w:hAnsi="Arial" w:cs="Arial"/>
          <w:bCs/>
          <w:color w:val="000000"/>
          <w:sz w:val="32"/>
          <w:szCs w:val="20"/>
          <w:lang w:val="en-GB"/>
        </w:rPr>
        <w:t>buys or leases huge tracts of land from developing and poor countries for their own food production and access to natural resources including water. The idea is to produce food for export to their home countries for consumption and around the worlds</w:t>
      </w:r>
      <w:r w:rsidR="00DC5E4E" w:rsidRPr="00E44079">
        <w:rPr>
          <w:rFonts w:ascii="Arial" w:hAnsi="Arial" w:cs="Arial"/>
          <w:bCs/>
          <w:color w:val="000000"/>
          <w:sz w:val="32"/>
          <w:szCs w:val="20"/>
          <w:lang w:val="en-GB"/>
        </w:rPr>
        <w:t xml:space="preserve"> who banking on future profits</w:t>
      </w:r>
      <w:r w:rsidRPr="00E44079">
        <w:rPr>
          <w:rFonts w:ascii="Arial" w:hAnsi="Arial" w:cs="Arial"/>
          <w:bCs/>
          <w:color w:val="000000"/>
          <w:sz w:val="32"/>
          <w:szCs w:val="20"/>
          <w:lang w:val="en-GB"/>
        </w:rPr>
        <w:t>. A</w:t>
      </w:r>
      <w:r w:rsidRPr="00E44079">
        <w:rPr>
          <w:rFonts w:ascii="Arial" w:hAnsi="Arial" w:cs="Arial"/>
          <w:bCs/>
          <w:color w:val="000000"/>
          <w:sz w:val="32"/>
          <w:szCs w:val="20"/>
          <w:lang w:val="en-US"/>
        </w:rPr>
        <w:t>n estimated 15 and 20 million hectares of farmland in developing countries have been subject to transactions or negotiations involving foreign investors since 2006.</w:t>
      </w:r>
      <w:r w:rsidR="00DC5E4E" w:rsidRPr="00E44079">
        <w:rPr>
          <w:rFonts w:ascii="Arial" w:hAnsi="Arial" w:cs="Arial"/>
          <w:bCs/>
          <w:color w:val="000000"/>
          <w:sz w:val="32"/>
          <w:szCs w:val="20"/>
          <w:lang w:val="en-US"/>
        </w:rPr>
        <w:t xml:space="preserve"> A recently released report from CSO, GRAIN indicates more than 400 such land deals exist for example, in Ethiopia one such deal includes around 300,000 hectares of land</w:t>
      </w:r>
      <w:r w:rsidR="00D316A8" w:rsidRPr="00E44079">
        <w:rPr>
          <w:rFonts w:ascii="Arial" w:hAnsi="Arial" w:cs="Arial"/>
          <w:bCs/>
          <w:color w:val="000000"/>
          <w:sz w:val="32"/>
          <w:szCs w:val="20"/>
          <w:lang w:val="en-US"/>
        </w:rPr>
        <w:t xml:space="preserve"> was leased to an Indian agribusiness</w:t>
      </w:r>
      <w:r w:rsidR="00DC5E4E" w:rsidRPr="00E44079">
        <w:rPr>
          <w:rFonts w:ascii="Arial" w:hAnsi="Arial" w:cs="Arial"/>
          <w:bCs/>
          <w:color w:val="000000"/>
          <w:sz w:val="32"/>
          <w:szCs w:val="20"/>
          <w:lang w:val="en-US"/>
        </w:rPr>
        <w:t xml:space="preserve">. </w:t>
      </w:r>
      <w:r w:rsidR="00A37FEE" w:rsidRPr="00E44079">
        <w:rPr>
          <w:rFonts w:ascii="Arial" w:hAnsi="Arial" w:cs="Arial"/>
          <w:bCs/>
          <w:color w:val="000000"/>
          <w:sz w:val="32"/>
          <w:szCs w:val="20"/>
          <w:lang w:val="en-US"/>
        </w:rPr>
        <w:t xml:space="preserve"> In Cambodia around 25,000 hectares and the Philippines around 1 million hectares of land worked by the peasants were given to a private company/investor – and the list goes on.  The Special Rapporteur on the Right to Food, Olivier de </w:t>
      </w:r>
      <w:proofErr w:type="spellStart"/>
      <w:r w:rsidR="00A37FEE" w:rsidRPr="00E44079">
        <w:rPr>
          <w:rFonts w:ascii="Arial" w:hAnsi="Arial" w:cs="Arial"/>
          <w:bCs/>
          <w:color w:val="000000"/>
          <w:sz w:val="32"/>
          <w:szCs w:val="20"/>
          <w:lang w:val="en-US"/>
        </w:rPr>
        <w:t>Schutter</w:t>
      </w:r>
      <w:proofErr w:type="spellEnd"/>
      <w:r w:rsidR="00A37FEE" w:rsidRPr="00E44079">
        <w:rPr>
          <w:rFonts w:ascii="Arial" w:hAnsi="Arial" w:cs="Arial"/>
          <w:bCs/>
          <w:color w:val="000000"/>
          <w:sz w:val="32"/>
          <w:szCs w:val="20"/>
          <w:lang w:val="en-US"/>
        </w:rPr>
        <w:t xml:space="preserve"> has also documented this phenomenon – for example, a</w:t>
      </w:r>
      <w:r w:rsidR="00DC5E4E" w:rsidRPr="00E44079">
        <w:rPr>
          <w:rFonts w:ascii="Arial" w:hAnsi="Arial" w:cs="Arial"/>
          <w:bCs/>
          <w:color w:val="000000"/>
          <w:sz w:val="32"/>
          <w:szCs w:val="20"/>
          <w:lang w:val="en-US"/>
        </w:rPr>
        <w:t xml:space="preserve">n Asian country </w:t>
      </w:r>
      <w:r w:rsidR="00F27DC4" w:rsidRPr="00E44079">
        <w:rPr>
          <w:rFonts w:ascii="Arial" w:hAnsi="Arial" w:cs="Arial"/>
          <w:bCs/>
          <w:color w:val="000000"/>
          <w:sz w:val="32"/>
          <w:szCs w:val="20"/>
          <w:lang w:val="en-US"/>
        </w:rPr>
        <w:t xml:space="preserve">is reported </w:t>
      </w:r>
      <w:r w:rsidR="00DC5E4E" w:rsidRPr="00E44079">
        <w:rPr>
          <w:rFonts w:ascii="Arial" w:hAnsi="Arial" w:cs="Arial"/>
          <w:bCs/>
          <w:color w:val="000000"/>
          <w:sz w:val="32"/>
          <w:szCs w:val="20"/>
          <w:lang w:val="en-US"/>
        </w:rPr>
        <w:t>to have acquired 2.8 million hectares in the Democratic Republic of Congo to create the world's largest oil palm plantation</w:t>
      </w:r>
      <w:r w:rsidR="00DC5E4E" w:rsidRPr="00E44079">
        <w:rPr>
          <w:rFonts w:ascii="Arial" w:hAnsi="Arial" w:cs="Arial"/>
          <w:bCs/>
          <w:color w:val="000000"/>
          <w:sz w:val="32"/>
          <w:szCs w:val="20"/>
          <w:vertAlign w:val="superscript"/>
          <w:lang w:val="en-US"/>
        </w:rPr>
        <w:endnoteReference w:id="1"/>
      </w:r>
      <w:r w:rsidR="00DC5E4E" w:rsidRPr="00E44079">
        <w:rPr>
          <w:rFonts w:ascii="Arial" w:hAnsi="Arial" w:cs="Arial"/>
          <w:bCs/>
          <w:color w:val="000000"/>
          <w:sz w:val="32"/>
          <w:szCs w:val="20"/>
          <w:lang w:val="en-US"/>
        </w:rPr>
        <w:t xml:space="preserve">.  </w:t>
      </w:r>
    </w:p>
    <w:p w:rsidR="004A25FD" w:rsidRPr="00E44079" w:rsidRDefault="004A25FD" w:rsidP="004A25FD">
      <w:pPr>
        <w:rPr>
          <w:rFonts w:ascii="Arial" w:hAnsi="Arial" w:cs="Arial"/>
          <w:bCs/>
          <w:color w:val="000000"/>
          <w:sz w:val="32"/>
          <w:szCs w:val="20"/>
          <w:lang w:val="en-US"/>
        </w:rPr>
      </w:pPr>
    </w:p>
    <w:p w:rsidR="006853FF" w:rsidRPr="00E44079" w:rsidRDefault="0013735D" w:rsidP="006A419A">
      <w:pPr>
        <w:rPr>
          <w:rFonts w:ascii="Arial" w:hAnsi="Arial" w:cs="Arial"/>
          <w:bCs/>
          <w:color w:val="000000"/>
          <w:sz w:val="32"/>
          <w:szCs w:val="20"/>
          <w:lang w:val="en-US"/>
        </w:rPr>
      </w:pPr>
      <w:r w:rsidRPr="00E44079">
        <w:rPr>
          <w:rFonts w:ascii="Arial" w:hAnsi="Arial" w:cs="Arial"/>
          <w:bCs/>
          <w:color w:val="000000"/>
          <w:sz w:val="32"/>
          <w:szCs w:val="20"/>
          <w:lang w:val="en-US"/>
        </w:rPr>
        <w:t xml:space="preserve">Another </w:t>
      </w:r>
      <w:r w:rsidR="004A25FD" w:rsidRPr="00E44079">
        <w:rPr>
          <w:rFonts w:ascii="Arial" w:hAnsi="Arial" w:cs="Arial"/>
          <w:bCs/>
          <w:color w:val="000000"/>
          <w:sz w:val="32"/>
          <w:szCs w:val="20"/>
          <w:lang w:val="en-US"/>
        </w:rPr>
        <w:t xml:space="preserve">growing </w:t>
      </w:r>
      <w:r w:rsidRPr="00E44079">
        <w:rPr>
          <w:rFonts w:ascii="Arial" w:hAnsi="Arial" w:cs="Arial"/>
          <w:bCs/>
          <w:color w:val="000000"/>
          <w:sz w:val="32"/>
          <w:szCs w:val="20"/>
          <w:lang w:val="en-US"/>
        </w:rPr>
        <w:t xml:space="preserve">trend </w:t>
      </w:r>
      <w:r w:rsidR="004A25FD" w:rsidRPr="00E44079">
        <w:rPr>
          <w:rFonts w:ascii="Arial" w:hAnsi="Arial" w:cs="Arial"/>
          <w:bCs/>
          <w:color w:val="000000"/>
          <w:sz w:val="32"/>
          <w:szCs w:val="20"/>
          <w:lang w:val="en-US"/>
        </w:rPr>
        <w:t xml:space="preserve">by </w:t>
      </w:r>
      <w:proofErr w:type="spellStart"/>
      <w:r w:rsidR="004A25FD" w:rsidRPr="00E44079">
        <w:rPr>
          <w:rFonts w:ascii="Arial" w:hAnsi="Arial" w:cs="Arial"/>
          <w:bCs/>
          <w:color w:val="000000"/>
          <w:sz w:val="32"/>
          <w:szCs w:val="20"/>
          <w:lang w:val="en-US"/>
        </w:rPr>
        <w:t>agri</w:t>
      </w:r>
      <w:proofErr w:type="spellEnd"/>
      <w:r w:rsidR="004A25FD" w:rsidRPr="00E44079">
        <w:rPr>
          <w:rFonts w:ascii="Arial" w:hAnsi="Arial" w:cs="Arial"/>
          <w:bCs/>
          <w:color w:val="000000"/>
          <w:sz w:val="32"/>
          <w:szCs w:val="20"/>
          <w:lang w:val="en-US"/>
        </w:rPr>
        <w:t xml:space="preserve">-TNCs </w:t>
      </w:r>
      <w:r w:rsidRPr="00E44079">
        <w:rPr>
          <w:rFonts w:ascii="Arial" w:hAnsi="Arial" w:cs="Arial"/>
          <w:bCs/>
          <w:color w:val="000000"/>
          <w:sz w:val="32"/>
          <w:szCs w:val="20"/>
          <w:lang w:val="en-US"/>
        </w:rPr>
        <w:t xml:space="preserve">is </w:t>
      </w:r>
      <w:r w:rsidR="00B909EF" w:rsidRPr="00E44079">
        <w:rPr>
          <w:rFonts w:ascii="Arial" w:hAnsi="Arial" w:cs="Arial"/>
          <w:bCs/>
          <w:color w:val="000000"/>
          <w:sz w:val="32"/>
          <w:szCs w:val="20"/>
          <w:lang w:val="en-US"/>
        </w:rPr>
        <w:t xml:space="preserve">directly controlling the farming system </w:t>
      </w:r>
      <w:r w:rsidRPr="00E44079">
        <w:rPr>
          <w:rFonts w:ascii="Arial" w:hAnsi="Arial" w:cs="Arial"/>
          <w:bCs/>
          <w:color w:val="000000"/>
          <w:sz w:val="32"/>
          <w:szCs w:val="20"/>
          <w:lang w:val="en-US"/>
        </w:rPr>
        <w:t>through contract farming</w:t>
      </w:r>
      <w:r w:rsidR="00716FC5" w:rsidRPr="00E44079">
        <w:rPr>
          <w:rFonts w:ascii="Arial" w:hAnsi="Arial" w:cs="Arial"/>
          <w:bCs/>
          <w:color w:val="000000"/>
          <w:sz w:val="32"/>
          <w:szCs w:val="20"/>
          <w:lang w:val="en-US"/>
        </w:rPr>
        <w:t xml:space="preserve"> or </w:t>
      </w:r>
      <w:r w:rsidR="004A25FD" w:rsidRPr="00E44079">
        <w:rPr>
          <w:rFonts w:ascii="Arial" w:hAnsi="Arial" w:cs="Arial"/>
          <w:bCs/>
          <w:color w:val="000000"/>
          <w:sz w:val="32"/>
          <w:szCs w:val="20"/>
          <w:lang w:val="en-US"/>
        </w:rPr>
        <w:t xml:space="preserve">going into </w:t>
      </w:r>
      <w:r w:rsidR="00716FC5" w:rsidRPr="00E44079">
        <w:rPr>
          <w:rFonts w:ascii="Arial" w:hAnsi="Arial" w:cs="Arial"/>
          <w:bCs/>
          <w:color w:val="000000"/>
          <w:sz w:val="32"/>
          <w:szCs w:val="20"/>
          <w:lang w:val="en-US"/>
        </w:rPr>
        <w:t xml:space="preserve">farming themselves </w:t>
      </w:r>
      <w:r w:rsidR="00943B13" w:rsidRPr="00E44079">
        <w:rPr>
          <w:rFonts w:ascii="Arial" w:hAnsi="Arial" w:cs="Arial"/>
          <w:bCs/>
          <w:color w:val="000000"/>
          <w:sz w:val="32"/>
          <w:szCs w:val="20"/>
          <w:lang w:val="en-US"/>
        </w:rPr>
        <w:t xml:space="preserve">which is </w:t>
      </w:r>
      <w:r w:rsidR="00716FC5" w:rsidRPr="00E44079">
        <w:rPr>
          <w:rFonts w:ascii="Arial" w:hAnsi="Arial" w:cs="Arial"/>
          <w:bCs/>
          <w:color w:val="000000"/>
          <w:sz w:val="32"/>
          <w:szCs w:val="20"/>
          <w:lang w:val="en-US"/>
        </w:rPr>
        <w:t xml:space="preserve">leading to an increasing vertical integration of </w:t>
      </w:r>
      <w:r w:rsidR="004A25FD" w:rsidRPr="00E44079">
        <w:rPr>
          <w:rFonts w:ascii="Arial" w:hAnsi="Arial" w:cs="Arial"/>
          <w:bCs/>
          <w:color w:val="000000"/>
          <w:sz w:val="32"/>
          <w:szCs w:val="20"/>
          <w:lang w:val="en-US"/>
        </w:rPr>
        <w:t xml:space="preserve">the food </w:t>
      </w:r>
      <w:r w:rsidR="00716FC5" w:rsidRPr="00E44079">
        <w:rPr>
          <w:rFonts w:ascii="Arial" w:hAnsi="Arial" w:cs="Arial"/>
          <w:bCs/>
          <w:color w:val="000000"/>
          <w:sz w:val="32"/>
          <w:szCs w:val="20"/>
          <w:lang w:val="en-US"/>
        </w:rPr>
        <w:t>supply chain</w:t>
      </w:r>
      <w:r w:rsidR="00716FC5" w:rsidRPr="00E44079">
        <w:rPr>
          <w:rStyle w:val="FootnoteReference"/>
          <w:rFonts w:ascii="Arial" w:hAnsi="Arial" w:cs="Arial"/>
          <w:bCs/>
          <w:color w:val="000000"/>
          <w:sz w:val="32"/>
          <w:szCs w:val="20"/>
          <w:lang w:val="en-US"/>
        </w:rPr>
        <w:footnoteReference w:id="4"/>
      </w:r>
      <w:r w:rsidR="00CF33AB" w:rsidRPr="00E44079">
        <w:rPr>
          <w:rFonts w:ascii="Arial" w:hAnsi="Arial" w:cs="Arial"/>
          <w:bCs/>
          <w:color w:val="000000"/>
          <w:sz w:val="32"/>
          <w:szCs w:val="20"/>
          <w:lang w:val="en-US"/>
        </w:rPr>
        <w:t xml:space="preserve">.  Farmers </w:t>
      </w:r>
      <w:r w:rsidR="00716FC5" w:rsidRPr="00E44079">
        <w:rPr>
          <w:rFonts w:ascii="Arial" w:hAnsi="Arial" w:cs="Arial"/>
          <w:bCs/>
          <w:color w:val="000000"/>
          <w:sz w:val="32"/>
          <w:szCs w:val="20"/>
          <w:lang w:val="en-GB"/>
        </w:rPr>
        <w:t xml:space="preserve">caught in </w:t>
      </w:r>
      <w:r w:rsidR="00CF33AB" w:rsidRPr="00E44079">
        <w:rPr>
          <w:rFonts w:ascii="Arial" w:hAnsi="Arial" w:cs="Arial"/>
          <w:bCs/>
          <w:color w:val="000000"/>
          <w:sz w:val="32"/>
          <w:szCs w:val="20"/>
          <w:lang w:val="en-GB"/>
        </w:rPr>
        <w:t>this</w:t>
      </w:r>
      <w:r w:rsidR="00716FC5" w:rsidRPr="00E44079">
        <w:rPr>
          <w:rFonts w:ascii="Arial" w:hAnsi="Arial" w:cs="Arial"/>
          <w:bCs/>
          <w:color w:val="000000"/>
          <w:sz w:val="32"/>
          <w:szCs w:val="20"/>
          <w:lang w:val="en-GB"/>
        </w:rPr>
        <w:t xml:space="preserve"> system </w:t>
      </w:r>
      <w:r w:rsidR="004A25FD" w:rsidRPr="00E44079">
        <w:rPr>
          <w:rFonts w:ascii="Arial" w:hAnsi="Arial" w:cs="Arial"/>
          <w:bCs/>
          <w:color w:val="000000"/>
          <w:sz w:val="32"/>
          <w:szCs w:val="20"/>
          <w:lang w:val="en-GB"/>
        </w:rPr>
        <w:t xml:space="preserve">find it </w:t>
      </w:r>
      <w:r w:rsidR="00716FC5" w:rsidRPr="00E44079">
        <w:rPr>
          <w:rFonts w:ascii="Arial" w:hAnsi="Arial" w:cs="Arial"/>
          <w:bCs/>
          <w:color w:val="000000"/>
          <w:sz w:val="32"/>
          <w:szCs w:val="20"/>
          <w:lang w:val="en-GB"/>
        </w:rPr>
        <w:t>highly exploitative.</w:t>
      </w:r>
      <w:r w:rsidR="004A25FD" w:rsidRPr="00E44079">
        <w:rPr>
          <w:rFonts w:ascii="Arial" w:hAnsi="Arial" w:cs="Arial"/>
          <w:bCs/>
          <w:color w:val="000000"/>
          <w:sz w:val="32"/>
          <w:szCs w:val="20"/>
          <w:lang w:val="en-GB"/>
        </w:rPr>
        <w:t xml:space="preserve"> </w:t>
      </w:r>
      <w:r w:rsidR="00B909EF" w:rsidRPr="00E44079">
        <w:rPr>
          <w:rFonts w:ascii="Arial" w:hAnsi="Arial" w:cs="Arial"/>
          <w:bCs/>
          <w:color w:val="000000"/>
          <w:sz w:val="32"/>
          <w:szCs w:val="20"/>
          <w:lang w:val="en-GB"/>
        </w:rPr>
        <w:t>They are held to ransom at every step of production and are red</w:t>
      </w:r>
      <w:r w:rsidR="006853FF" w:rsidRPr="00E44079">
        <w:rPr>
          <w:rFonts w:ascii="Arial" w:hAnsi="Arial" w:cs="Arial"/>
          <w:bCs/>
          <w:color w:val="000000"/>
          <w:sz w:val="32"/>
          <w:szCs w:val="20"/>
          <w:lang w:val="en-GB"/>
        </w:rPr>
        <w:t>uced to becoming cheap farm labou</w:t>
      </w:r>
      <w:r w:rsidR="00B909EF" w:rsidRPr="00E44079">
        <w:rPr>
          <w:rFonts w:ascii="Arial" w:hAnsi="Arial" w:cs="Arial"/>
          <w:bCs/>
          <w:color w:val="000000"/>
          <w:sz w:val="32"/>
          <w:szCs w:val="20"/>
          <w:lang w:val="en-GB"/>
        </w:rPr>
        <w:t>r with no security or say in their farms, trapped in a system which keeps them in debt and poverty.</w:t>
      </w:r>
      <w:r w:rsidR="00716FC5" w:rsidRPr="00E44079">
        <w:rPr>
          <w:rFonts w:ascii="Arial" w:hAnsi="Arial" w:cs="Arial"/>
          <w:bCs/>
          <w:color w:val="000000"/>
          <w:sz w:val="32"/>
          <w:szCs w:val="20"/>
          <w:lang w:val="en-US"/>
        </w:rPr>
        <w:t xml:space="preserve">  </w:t>
      </w:r>
    </w:p>
    <w:p w:rsidR="006853FF" w:rsidRPr="00E44079" w:rsidRDefault="006853FF" w:rsidP="006A419A">
      <w:pPr>
        <w:rPr>
          <w:rFonts w:ascii="Arial" w:hAnsi="Arial" w:cs="Arial"/>
          <w:bCs/>
          <w:color w:val="000000"/>
          <w:sz w:val="32"/>
          <w:szCs w:val="20"/>
          <w:lang w:val="en-US"/>
        </w:rPr>
      </w:pPr>
    </w:p>
    <w:p w:rsidR="00716FC5" w:rsidRPr="00E44079" w:rsidRDefault="006853FF" w:rsidP="006A419A">
      <w:pPr>
        <w:rPr>
          <w:rFonts w:ascii="Arial" w:hAnsi="Arial" w:cs="Arial"/>
          <w:bCs/>
          <w:color w:val="000000"/>
          <w:sz w:val="32"/>
          <w:szCs w:val="20"/>
          <w:lang w:val="en-US"/>
        </w:rPr>
      </w:pPr>
      <w:r w:rsidRPr="00E44079">
        <w:rPr>
          <w:rFonts w:ascii="Arial" w:hAnsi="Arial" w:cs="Arial"/>
          <w:bCs/>
          <w:color w:val="000000"/>
          <w:sz w:val="32"/>
          <w:szCs w:val="20"/>
          <w:lang w:val="en-US"/>
        </w:rPr>
        <w:t xml:space="preserve">TNCs </w:t>
      </w:r>
      <w:r w:rsidRPr="00E44079">
        <w:rPr>
          <w:rFonts w:ascii="Arial" w:hAnsi="Arial" w:cs="Arial"/>
          <w:color w:val="000000"/>
          <w:sz w:val="32"/>
          <w:szCs w:val="20"/>
        </w:rPr>
        <w:t xml:space="preserve">have also harassed and discredited scientists and activists who have been critical about their corporate products and exposed the </w:t>
      </w:r>
      <w:proofErr w:type="spellStart"/>
      <w:r w:rsidRPr="00E44079">
        <w:rPr>
          <w:rFonts w:ascii="Arial" w:hAnsi="Arial" w:cs="Arial"/>
          <w:color w:val="000000"/>
          <w:sz w:val="32"/>
          <w:szCs w:val="20"/>
        </w:rPr>
        <w:t>agri</w:t>
      </w:r>
      <w:proofErr w:type="spellEnd"/>
      <w:r w:rsidRPr="00E44079">
        <w:rPr>
          <w:rFonts w:ascii="Arial" w:hAnsi="Arial" w:cs="Arial"/>
          <w:color w:val="000000"/>
          <w:sz w:val="32"/>
          <w:szCs w:val="20"/>
        </w:rPr>
        <w:t xml:space="preserve">-TNCs violations of rights of people’s and communities.  There have </w:t>
      </w:r>
      <w:r w:rsidR="00D902C6" w:rsidRPr="00E44079">
        <w:rPr>
          <w:rFonts w:ascii="Arial" w:hAnsi="Arial" w:cs="Arial"/>
          <w:color w:val="000000"/>
          <w:sz w:val="32"/>
          <w:szCs w:val="20"/>
        </w:rPr>
        <w:t xml:space="preserve">also </w:t>
      </w:r>
      <w:r w:rsidRPr="00E44079">
        <w:rPr>
          <w:rFonts w:ascii="Arial" w:hAnsi="Arial" w:cs="Arial"/>
          <w:color w:val="000000"/>
          <w:sz w:val="32"/>
          <w:szCs w:val="20"/>
        </w:rPr>
        <w:t>been numerous reports of TNCs bribing government officials to allow their product into the markets.</w:t>
      </w:r>
    </w:p>
    <w:p w:rsidR="006A419A" w:rsidRPr="00E44079" w:rsidRDefault="006A419A" w:rsidP="008157B7">
      <w:pPr>
        <w:rPr>
          <w:rStyle w:val="Absatz-Standardschriftart"/>
          <w:rFonts w:ascii="Arial" w:hAnsi="Arial" w:cs="Arial"/>
          <w:bCs/>
          <w:color w:val="000000"/>
          <w:sz w:val="32"/>
          <w:szCs w:val="20"/>
        </w:rPr>
      </w:pPr>
    </w:p>
    <w:p w:rsidR="002E1831" w:rsidRPr="00E44079" w:rsidRDefault="00B909EF" w:rsidP="008157B7">
      <w:pPr>
        <w:rPr>
          <w:rFonts w:ascii="Arial" w:hAnsi="Arial" w:cs="Arial"/>
          <w:color w:val="000000"/>
          <w:sz w:val="32"/>
          <w:szCs w:val="20"/>
        </w:rPr>
      </w:pPr>
      <w:r w:rsidRPr="00E44079">
        <w:rPr>
          <w:rStyle w:val="Absatz-Standardschriftart"/>
          <w:rFonts w:ascii="Arial" w:hAnsi="Arial" w:cs="Arial"/>
          <w:bCs/>
          <w:color w:val="000000"/>
          <w:sz w:val="32"/>
          <w:szCs w:val="20"/>
        </w:rPr>
        <w:t>Th</w:t>
      </w:r>
      <w:r w:rsidR="004F12D3" w:rsidRPr="00E44079">
        <w:rPr>
          <w:rStyle w:val="Absatz-Standardschriftart"/>
          <w:rFonts w:ascii="Arial" w:hAnsi="Arial" w:cs="Arial"/>
          <w:bCs/>
          <w:color w:val="000000"/>
          <w:sz w:val="32"/>
          <w:szCs w:val="20"/>
        </w:rPr>
        <w:t xml:space="preserve">is corporate </w:t>
      </w:r>
      <w:r w:rsidRPr="00E44079">
        <w:rPr>
          <w:rStyle w:val="Absatz-Standardschriftart"/>
          <w:rFonts w:ascii="Arial" w:hAnsi="Arial" w:cs="Arial"/>
          <w:bCs/>
          <w:color w:val="000000"/>
          <w:sz w:val="32"/>
          <w:szCs w:val="20"/>
        </w:rPr>
        <w:t xml:space="preserve">control over food and agriculture </w:t>
      </w:r>
      <w:r w:rsidR="006A419A" w:rsidRPr="00E44079">
        <w:rPr>
          <w:rFonts w:ascii="Arial" w:hAnsi="Arial" w:cs="Arial"/>
          <w:color w:val="000000"/>
          <w:sz w:val="32"/>
          <w:szCs w:val="20"/>
          <w:lang w:val="en-US" w:bidi="en-US"/>
        </w:rPr>
        <w:t>undermine</w:t>
      </w:r>
      <w:r w:rsidR="006853FF" w:rsidRPr="00E44079">
        <w:rPr>
          <w:rFonts w:ascii="Arial" w:hAnsi="Arial" w:cs="Arial"/>
          <w:color w:val="000000"/>
          <w:sz w:val="32"/>
          <w:szCs w:val="20"/>
          <w:lang w:val="en-US" w:bidi="en-US"/>
        </w:rPr>
        <w:t>s</w:t>
      </w:r>
      <w:r w:rsidR="006A419A" w:rsidRPr="00E44079">
        <w:rPr>
          <w:rFonts w:ascii="Arial" w:hAnsi="Arial" w:cs="Arial"/>
          <w:color w:val="000000"/>
          <w:sz w:val="32"/>
          <w:szCs w:val="20"/>
          <w:lang w:val="en-US" w:bidi="en-US"/>
        </w:rPr>
        <w:t xml:space="preserve"> the people’s right to food and </w:t>
      </w:r>
      <w:r w:rsidR="004F12D3" w:rsidRPr="00E44079">
        <w:rPr>
          <w:rFonts w:ascii="Arial" w:hAnsi="Arial" w:cs="Arial"/>
          <w:color w:val="000000"/>
          <w:sz w:val="32"/>
          <w:szCs w:val="20"/>
          <w:lang w:val="en-US" w:bidi="en-US"/>
        </w:rPr>
        <w:t xml:space="preserve">deprive </w:t>
      </w:r>
      <w:r w:rsidR="006A419A" w:rsidRPr="00E44079">
        <w:rPr>
          <w:rFonts w:ascii="Arial" w:hAnsi="Arial" w:cs="Arial"/>
          <w:color w:val="000000"/>
          <w:sz w:val="32"/>
          <w:szCs w:val="20"/>
          <w:lang w:val="en-US" w:bidi="en-US"/>
        </w:rPr>
        <w:t xml:space="preserve">peasants and small </w:t>
      </w:r>
      <w:r w:rsidR="004F12D3" w:rsidRPr="00E44079">
        <w:rPr>
          <w:rFonts w:ascii="Arial" w:hAnsi="Arial" w:cs="Arial"/>
          <w:color w:val="000000"/>
          <w:sz w:val="32"/>
          <w:szCs w:val="20"/>
          <w:lang w:val="en-US" w:bidi="en-US"/>
        </w:rPr>
        <w:t xml:space="preserve">food </w:t>
      </w:r>
      <w:r w:rsidR="006A419A" w:rsidRPr="00E44079">
        <w:rPr>
          <w:rFonts w:ascii="Arial" w:hAnsi="Arial" w:cs="Arial"/>
          <w:color w:val="000000"/>
          <w:sz w:val="32"/>
          <w:szCs w:val="20"/>
          <w:lang w:val="en-US" w:bidi="en-US"/>
        </w:rPr>
        <w:t>producers around the world of their rights to life, livelihood, food, health, resources</w:t>
      </w:r>
      <w:r w:rsidRPr="00E44079">
        <w:rPr>
          <w:rFonts w:ascii="Arial" w:hAnsi="Arial" w:cs="Arial"/>
          <w:color w:val="000000"/>
          <w:sz w:val="32"/>
          <w:szCs w:val="20"/>
          <w:lang w:val="en-US" w:bidi="en-US"/>
        </w:rPr>
        <w:t xml:space="preserve"> and self-determination, thus</w:t>
      </w:r>
      <w:r w:rsidR="006A419A" w:rsidRPr="00E44079">
        <w:rPr>
          <w:rFonts w:ascii="Arial" w:hAnsi="Arial" w:cs="Arial"/>
          <w:color w:val="000000"/>
          <w:sz w:val="32"/>
          <w:szCs w:val="20"/>
          <w:lang w:val="en-US" w:bidi="en-US"/>
        </w:rPr>
        <w:t xml:space="preserve"> further impoverishing and disempowering them while the TNCs </w:t>
      </w:r>
      <w:r w:rsidRPr="00E44079">
        <w:rPr>
          <w:rFonts w:ascii="Arial" w:hAnsi="Arial" w:cs="Arial"/>
          <w:color w:val="000000"/>
          <w:sz w:val="32"/>
          <w:szCs w:val="20"/>
          <w:lang w:val="en-US" w:bidi="en-US"/>
        </w:rPr>
        <w:t xml:space="preserve">continue to </w:t>
      </w:r>
      <w:r w:rsidR="006A419A" w:rsidRPr="00E44079">
        <w:rPr>
          <w:rFonts w:ascii="Arial" w:hAnsi="Arial" w:cs="Arial"/>
          <w:color w:val="000000"/>
          <w:sz w:val="32"/>
          <w:szCs w:val="20"/>
          <w:lang w:val="en-US" w:bidi="en-US"/>
        </w:rPr>
        <w:t xml:space="preserve">reap huge profits.  </w:t>
      </w:r>
      <w:r w:rsidR="006A419A" w:rsidRPr="00E44079">
        <w:rPr>
          <w:rFonts w:ascii="Arial" w:hAnsi="Arial" w:cs="Arial"/>
          <w:bCs/>
          <w:color w:val="000000"/>
          <w:sz w:val="32"/>
          <w:szCs w:val="20"/>
          <w:lang w:val="en-US"/>
        </w:rPr>
        <w:t xml:space="preserve">These TNCS </w:t>
      </w:r>
      <w:r w:rsidR="007231A3" w:rsidRPr="00E44079">
        <w:rPr>
          <w:rFonts w:ascii="Arial" w:hAnsi="Arial" w:cs="Arial"/>
          <w:color w:val="000000"/>
          <w:sz w:val="32"/>
          <w:szCs w:val="20"/>
        </w:rPr>
        <w:t xml:space="preserve">have </w:t>
      </w:r>
      <w:r w:rsidR="0068678B" w:rsidRPr="00E44079">
        <w:rPr>
          <w:rFonts w:ascii="Arial" w:hAnsi="Arial" w:cs="Arial"/>
          <w:color w:val="000000"/>
          <w:sz w:val="32"/>
          <w:szCs w:val="20"/>
        </w:rPr>
        <w:t xml:space="preserve">also </w:t>
      </w:r>
      <w:r w:rsidR="007231A3" w:rsidRPr="00E44079">
        <w:rPr>
          <w:rFonts w:ascii="Arial" w:hAnsi="Arial" w:cs="Arial"/>
          <w:color w:val="000000"/>
          <w:sz w:val="32"/>
          <w:szCs w:val="20"/>
        </w:rPr>
        <w:t xml:space="preserve">compromised the integrity of state and agriculture </w:t>
      </w:r>
      <w:r w:rsidR="002E1831" w:rsidRPr="00E44079">
        <w:rPr>
          <w:rFonts w:ascii="Arial" w:hAnsi="Arial" w:cs="Arial"/>
          <w:color w:val="000000"/>
          <w:sz w:val="32"/>
          <w:szCs w:val="20"/>
        </w:rPr>
        <w:t xml:space="preserve">policies </w:t>
      </w:r>
      <w:r w:rsidR="007231A3" w:rsidRPr="00E44079">
        <w:rPr>
          <w:rFonts w:ascii="Arial" w:hAnsi="Arial" w:cs="Arial"/>
          <w:color w:val="000000"/>
          <w:sz w:val="32"/>
          <w:szCs w:val="20"/>
        </w:rPr>
        <w:t xml:space="preserve">especially in the South, undermining the food and national sovereignty of developing countries. </w:t>
      </w:r>
    </w:p>
    <w:p w:rsidR="006853FF" w:rsidRPr="00E44079" w:rsidRDefault="006853FF" w:rsidP="008157B7">
      <w:pPr>
        <w:rPr>
          <w:rFonts w:ascii="Arial" w:hAnsi="Arial" w:cs="Arial"/>
          <w:color w:val="000000"/>
          <w:sz w:val="32"/>
          <w:szCs w:val="20"/>
        </w:rPr>
      </w:pPr>
    </w:p>
    <w:p w:rsidR="00C20800" w:rsidRPr="00E44079" w:rsidRDefault="00C20800" w:rsidP="008157B7">
      <w:pPr>
        <w:rPr>
          <w:rFonts w:ascii="Arial" w:hAnsi="Arial" w:cs="Arial"/>
          <w:color w:val="000000"/>
          <w:sz w:val="32"/>
          <w:szCs w:val="20"/>
        </w:rPr>
      </w:pPr>
      <w:r w:rsidRPr="00E44079">
        <w:rPr>
          <w:rFonts w:ascii="Arial" w:hAnsi="Arial" w:cs="Arial"/>
          <w:color w:val="000000"/>
          <w:sz w:val="32"/>
          <w:szCs w:val="20"/>
        </w:rPr>
        <w:t xml:space="preserve">The mechanism of making TNCs accountable </w:t>
      </w:r>
      <w:r w:rsidR="002902A1" w:rsidRPr="00E44079">
        <w:rPr>
          <w:rFonts w:ascii="Arial" w:hAnsi="Arial" w:cs="Arial"/>
          <w:color w:val="000000"/>
          <w:sz w:val="32"/>
          <w:szCs w:val="20"/>
        </w:rPr>
        <w:t xml:space="preserve">for </w:t>
      </w:r>
      <w:r w:rsidR="002E1831" w:rsidRPr="00E44079">
        <w:rPr>
          <w:rFonts w:ascii="Arial" w:hAnsi="Arial" w:cs="Arial"/>
          <w:color w:val="000000"/>
          <w:sz w:val="32"/>
          <w:szCs w:val="20"/>
        </w:rPr>
        <w:t xml:space="preserve">their </w:t>
      </w:r>
      <w:r w:rsidR="002902A1" w:rsidRPr="00E44079">
        <w:rPr>
          <w:rFonts w:ascii="Arial" w:hAnsi="Arial" w:cs="Arial"/>
          <w:color w:val="000000"/>
          <w:sz w:val="32"/>
          <w:szCs w:val="20"/>
        </w:rPr>
        <w:t xml:space="preserve">human rights violations </w:t>
      </w:r>
      <w:r w:rsidRPr="00E44079">
        <w:rPr>
          <w:rFonts w:ascii="Arial" w:hAnsi="Arial" w:cs="Arial"/>
          <w:color w:val="000000"/>
          <w:sz w:val="32"/>
          <w:szCs w:val="20"/>
        </w:rPr>
        <w:t xml:space="preserve">are weak </w:t>
      </w:r>
      <w:r w:rsidR="002902A1" w:rsidRPr="00E44079">
        <w:rPr>
          <w:rFonts w:ascii="Arial" w:hAnsi="Arial" w:cs="Arial"/>
          <w:color w:val="000000"/>
          <w:sz w:val="32"/>
          <w:szCs w:val="20"/>
        </w:rPr>
        <w:t xml:space="preserve">or </w:t>
      </w:r>
      <w:r w:rsidRPr="00E44079">
        <w:rPr>
          <w:rFonts w:ascii="Arial" w:hAnsi="Arial" w:cs="Arial"/>
          <w:color w:val="000000"/>
          <w:sz w:val="32"/>
          <w:szCs w:val="20"/>
        </w:rPr>
        <w:t>non-existent both in the national and international arena</w:t>
      </w:r>
      <w:r w:rsidR="002902A1" w:rsidRPr="00E44079">
        <w:rPr>
          <w:rFonts w:ascii="Arial" w:hAnsi="Arial" w:cs="Arial"/>
          <w:color w:val="000000"/>
          <w:sz w:val="32"/>
          <w:szCs w:val="20"/>
        </w:rPr>
        <w:t>.  Corporate legal accountability mechanisms have</w:t>
      </w:r>
      <w:r w:rsidRPr="00E44079">
        <w:rPr>
          <w:rFonts w:ascii="Arial" w:hAnsi="Arial" w:cs="Arial"/>
          <w:color w:val="000000"/>
          <w:sz w:val="32"/>
          <w:szCs w:val="20"/>
        </w:rPr>
        <w:t xml:space="preserve"> not kept pace with the rapid global economic interdependence and related social and political </w:t>
      </w:r>
      <w:r w:rsidR="008B76D1" w:rsidRPr="00E44079">
        <w:rPr>
          <w:rFonts w:ascii="Arial" w:hAnsi="Arial" w:cs="Arial"/>
          <w:color w:val="000000"/>
          <w:sz w:val="32"/>
          <w:szCs w:val="20"/>
        </w:rPr>
        <w:t>impacts</w:t>
      </w:r>
      <w:r w:rsidR="008108CA" w:rsidRPr="00E44079">
        <w:rPr>
          <w:rFonts w:ascii="Arial" w:hAnsi="Arial" w:cs="Arial"/>
          <w:color w:val="000000"/>
          <w:sz w:val="32"/>
          <w:szCs w:val="20"/>
        </w:rPr>
        <w:t>,</w:t>
      </w:r>
      <w:r w:rsidRPr="00E44079">
        <w:rPr>
          <w:rFonts w:ascii="Arial" w:hAnsi="Arial" w:cs="Arial"/>
          <w:color w:val="000000"/>
          <w:sz w:val="32"/>
          <w:szCs w:val="20"/>
        </w:rPr>
        <w:t xml:space="preserve"> and </w:t>
      </w:r>
      <w:r w:rsidR="002902A1" w:rsidRPr="00E44079">
        <w:rPr>
          <w:rFonts w:ascii="Arial" w:hAnsi="Arial" w:cs="Arial"/>
          <w:color w:val="000000"/>
          <w:sz w:val="32"/>
          <w:szCs w:val="20"/>
        </w:rPr>
        <w:t xml:space="preserve">the </w:t>
      </w:r>
      <w:r w:rsidR="008108CA" w:rsidRPr="00E44079">
        <w:rPr>
          <w:rFonts w:ascii="Arial" w:hAnsi="Arial" w:cs="Arial"/>
          <w:color w:val="000000"/>
          <w:sz w:val="32"/>
          <w:szCs w:val="20"/>
        </w:rPr>
        <w:t xml:space="preserve">growth of the </w:t>
      </w:r>
      <w:r w:rsidRPr="00E44079">
        <w:rPr>
          <w:rFonts w:ascii="Arial" w:hAnsi="Arial" w:cs="Arial"/>
          <w:color w:val="000000"/>
          <w:sz w:val="32"/>
          <w:szCs w:val="20"/>
        </w:rPr>
        <w:t xml:space="preserve">enormous </w:t>
      </w:r>
      <w:r w:rsidR="007438E9" w:rsidRPr="00E44079">
        <w:rPr>
          <w:rFonts w:ascii="Arial" w:hAnsi="Arial" w:cs="Arial"/>
          <w:color w:val="000000"/>
          <w:sz w:val="32"/>
          <w:szCs w:val="20"/>
        </w:rPr>
        <w:t xml:space="preserve">economic and political </w:t>
      </w:r>
      <w:r w:rsidRPr="00E44079">
        <w:rPr>
          <w:rFonts w:ascii="Arial" w:hAnsi="Arial" w:cs="Arial"/>
          <w:color w:val="000000"/>
          <w:sz w:val="32"/>
          <w:szCs w:val="20"/>
        </w:rPr>
        <w:t>power</w:t>
      </w:r>
      <w:r w:rsidR="008108CA" w:rsidRPr="00E44079">
        <w:rPr>
          <w:rFonts w:ascii="Arial" w:hAnsi="Arial" w:cs="Arial"/>
          <w:color w:val="000000"/>
          <w:sz w:val="32"/>
          <w:szCs w:val="20"/>
        </w:rPr>
        <w:t xml:space="preserve"> that TNCs wield</w:t>
      </w:r>
      <w:r w:rsidRPr="00E44079">
        <w:rPr>
          <w:rFonts w:ascii="Arial" w:hAnsi="Arial" w:cs="Arial"/>
          <w:color w:val="000000"/>
          <w:sz w:val="32"/>
          <w:szCs w:val="20"/>
        </w:rPr>
        <w:t xml:space="preserve">.  </w:t>
      </w:r>
      <w:r w:rsidR="00B50679" w:rsidRPr="00E44079">
        <w:rPr>
          <w:rFonts w:ascii="Arial" w:hAnsi="Arial" w:cs="Arial"/>
          <w:color w:val="000000"/>
          <w:sz w:val="32"/>
          <w:szCs w:val="20"/>
        </w:rPr>
        <w:t>Self</w:t>
      </w:r>
      <w:r w:rsidR="008108CA" w:rsidRPr="00E44079">
        <w:rPr>
          <w:rFonts w:ascii="Arial" w:hAnsi="Arial" w:cs="Arial"/>
          <w:color w:val="000000"/>
          <w:sz w:val="32"/>
          <w:szCs w:val="20"/>
        </w:rPr>
        <w:t>-</w:t>
      </w:r>
      <w:r w:rsidR="00B50679" w:rsidRPr="00E44079">
        <w:rPr>
          <w:rFonts w:ascii="Arial" w:hAnsi="Arial" w:cs="Arial"/>
          <w:color w:val="000000"/>
          <w:sz w:val="32"/>
          <w:szCs w:val="20"/>
        </w:rPr>
        <w:t>regulation initiatives such as the OECD Guidelines for Multinational Enterprises are non-binding and there is no legal liability if TNCs do not comply with the</w:t>
      </w:r>
      <w:r w:rsidR="008108CA" w:rsidRPr="00E44079">
        <w:rPr>
          <w:rFonts w:ascii="Arial" w:hAnsi="Arial" w:cs="Arial"/>
          <w:color w:val="000000"/>
          <w:sz w:val="32"/>
          <w:szCs w:val="20"/>
        </w:rPr>
        <w:t>m</w:t>
      </w:r>
      <w:r w:rsidR="00B50679" w:rsidRPr="00E44079">
        <w:rPr>
          <w:rFonts w:ascii="Arial" w:hAnsi="Arial" w:cs="Arial"/>
          <w:color w:val="000000"/>
          <w:sz w:val="32"/>
          <w:szCs w:val="20"/>
        </w:rPr>
        <w:t xml:space="preserve"> and there is no redress for the survivors of the human rights violation</w:t>
      </w:r>
      <w:r w:rsidR="008108CA" w:rsidRPr="00E44079">
        <w:rPr>
          <w:rFonts w:ascii="Arial" w:hAnsi="Arial" w:cs="Arial"/>
          <w:color w:val="000000"/>
          <w:sz w:val="32"/>
          <w:szCs w:val="20"/>
        </w:rPr>
        <w:t>s</w:t>
      </w:r>
      <w:r w:rsidR="00B50679" w:rsidRPr="00E44079">
        <w:rPr>
          <w:rStyle w:val="FootnoteReference"/>
          <w:rFonts w:ascii="Arial" w:hAnsi="Arial" w:cs="Arial"/>
          <w:color w:val="000000"/>
          <w:sz w:val="32"/>
          <w:szCs w:val="20"/>
        </w:rPr>
        <w:footnoteReference w:id="5"/>
      </w:r>
      <w:r w:rsidR="00B50679" w:rsidRPr="00E44079">
        <w:rPr>
          <w:rFonts w:ascii="Arial" w:hAnsi="Arial" w:cs="Arial"/>
          <w:color w:val="000000"/>
          <w:sz w:val="32"/>
          <w:szCs w:val="20"/>
        </w:rPr>
        <w:t xml:space="preserve">.  </w:t>
      </w:r>
      <w:r w:rsidR="008108CA" w:rsidRPr="00E44079">
        <w:rPr>
          <w:rFonts w:ascii="Arial" w:hAnsi="Arial" w:cs="Arial"/>
          <w:color w:val="000000"/>
          <w:sz w:val="32"/>
          <w:szCs w:val="20"/>
        </w:rPr>
        <w:t>Meanwhile, the whole concept of</w:t>
      </w:r>
      <w:r w:rsidR="00B50679" w:rsidRPr="00E44079">
        <w:rPr>
          <w:rFonts w:ascii="Arial" w:hAnsi="Arial" w:cs="Arial"/>
          <w:color w:val="000000"/>
          <w:sz w:val="32"/>
          <w:szCs w:val="20"/>
        </w:rPr>
        <w:t xml:space="preserve"> ‘corporate social responsibility’ </w:t>
      </w:r>
      <w:r w:rsidR="00DA1C00" w:rsidRPr="00E44079">
        <w:rPr>
          <w:rFonts w:ascii="Arial" w:hAnsi="Arial" w:cs="Arial"/>
          <w:color w:val="000000"/>
          <w:sz w:val="32"/>
          <w:szCs w:val="20"/>
        </w:rPr>
        <w:t xml:space="preserve">has reduced the issue of TNC accountability and their compliance </w:t>
      </w:r>
      <w:r w:rsidR="008108CA" w:rsidRPr="00E44079">
        <w:rPr>
          <w:rFonts w:ascii="Arial" w:hAnsi="Arial" w:cs="Arial"/>
          <w:color w:val="000000"/>
          <w:sz w:val="32"/>
          <w:szCs w:val="20"/>
        </w:rPr>
        <w:t>merely to a showcasing of so-called “</w:t>
      </w:r>
      <w:r w:rsidR="00DA1C00" w:rsidRPr="00E44079">
        <w:rPr>
          <w:rFonts w:ascii="Arial" w:hAnsi="Arial" w:cs="Arial"/>
          <w:color w:val="000000"/>
          <w:sz w:val="32"/>
          <w:szCs w:val="20"/>
        </w:rPr>
        <w:t>best practices”.</w:t>
      </w:r>
      <w:r w:rsidR="00C6097B" w:rsidRPr="00E44079">
        <w:rPr>
          <w:rFonts w:ascii="Arial" w:hAnsi="Arial" w:cs="Arial"/>
          <w:color w:val="000000"/>
          <w:sz w:val="32"/>
          <w:szCs w:val="20"/>
        </w:rPr>
        <w:t xml:space="preserve">  </w:t>
      </w:r>
    </w:p>
    <w:p w:rsidR="00C20800" w:rsidRPr="00E44079" w:rsidRDefault="00C20800" w:rsidP="008157B7">
      <w:pPr>
        <w:rPr>
          <w:rFonts w:ascii="Arial" w:hAnsi="Arial" w:cs="Arial"/>
          <w:color w:val="000000"/>
          <w:sz w:val="32"/>
          <w:szCs w:val="20"/>
        </w:rPr>
      </w:pPr>
    </w:p>
    <w:p w:rsidR="00DA1C00" w:rsidRPr="00E44079" w:rsidRDefault="00A878F9" w:rsidP="008157B7">
      <w:pPr>
        <w:rPr>
          <w:rFonts w:ascii="Arial" w:hAnsi="Arial" w:cs="Arial"/>
          <w:color w:val="000000"/>
          <w:sz w:val="32"/>
          <w:szCs w:val="20"/>
        </w:rPr>
      </w:pPr>
      <w:r w:rsidRPr="00E44079">
        <w:rPr>
          <w:rFonts w:ascii="Arial" w:hAnsi="Arial" w:cs="Arial"/>
          <w:color w:val="000000"/>
          <w:sz w:val="32"/>
          <w:szCs w:val="20"/>
        </w:rPr>
        <w:t>R</w:t>
      </w:r>
      <w:r w:rsidR="00DA1C00" w:rsidRPr="00E44079">
        <w:rPr>
          <w:rFonts w:ascii="Arial" w:hAnsi="Arial" w:cs="Arial"/>
          <w:color w:val="000000"/>
          <w:sz w:val="32"/>
          <w:szCs w:val="20"/>
        </w:rPr>
        <w:t xml:space="preserve">ecommendations: </w:t>
      </w:r>
    </w:p>
    <w:p w:rsidR="008108CA" w:rsidRPr="00E44079" w:rsidRDefault="008108CA" w:rsidP="00A878F9">
      <w:pPr>
        <w:numPr>
          <w:ilvl w:val="0"/>
          <w:numId w:val="2"/>
        </w:numPr>
        <w:rPr>
          <w:rFonts w:ascii="Arial" w:hAnsi="Arial" w:cs="Arial"/>
          <w:color w:val="000000"/>
          <w:sz w:val="32"/>
          <w:szCs w:val="20"/>
        </w:rPr>
      </w:pPr>
      <w:proofErr w:type="spellStart"/>
      <w:r w:rsidRPr="00E44079">
        <w:rPr>
          <w:rFonts w:ascii="Arial" w:hAnsi="Arial" w:cs="Arial"/>
          <w:color w:val="000000"/>
          <w:sz w:val="32"/>
          <w:szCs w:val="20"/>
        </w:rPr>
        <w:t>Agri</w:t>
      </w:r>
      <w:proofErr w:type="spellEnd"/>
      <w:r w:rsidRPr="00E44079">
        <w:rPr>
          <w:rFonts w:ascii="Arial" w:hAnsi="Arial" w:cs="Arial"/>
          <w:color w:val="000000"/>
          <w:sz w:val="32"/>
          <w:szCs w:val="20"/>
        </w:rPr>
        <w:t>-</w:t>
      </w:r>
      <w:r w:rsidR="00C6097B" w:rsidRPr="00E44079">
        <w:rPr>
          <w:rFonts w:ascii="Arial" w:hAnsi="Arial" w:cs="Arial"/>
          <w:color w:val="000000"/>
          <w:sz w:val="32"/>
          <w:szCs w:val="20"/>
        </w:rPr>
        <w:t>TNCS should s</w:t>
      </w:r>
      <w:r w:rsidR="00A878F9" w:rsidRPr="00E44079">
        <w:rPr>
          <w:rFonts w:ascii="Arial" w:hAnsi="Arial" w:cs="Arial"/>
          <w:color w:val="000000"/>
          <w:sz w:val="32"/>
          <w:szCs w:val="20"/>
        </w:rPr>
        <w:t xml:space="preserve">top the production and </w:t>
      </w:r>
      <w:r w:rsidRPr="00E44079">
        <w:rPr>
          <w:rFonts w:ascii="Arial" w:hAnsi="Arial" w:cs="Arial"/>
          <w:color w:val="000000"/>
          <w:sz w:val="32"/>
          <w:szCs w:val="20"/>
        </w:rPr>
        <w:t xml:space="preserve">propagation </w:t>
      </w:r>
      <w:r w:rsidR="00A878F9" w:rsidRPr="00E44079">
        <w:rPr>
          <w:rFonts w:ascii="Arial" w:hAnsi="Arial" w:cs="Arial"/>
          <w:color w:val="000000"/>
          <w:sz w:val="32"/>
          <w:szCs w:val="20"/>
        </w:rPr>
        <w:t>of harmful technologies</w:t>
      </w:r>
      <w:r w:rsidRPr="00E44079">
        <w:rPr>
          <w:rFonts w:ascii="Arial" w:hAnsi="Arial" w:cs="Arial"/>
          <w:color w:val="000000"/>
          <w:sz w:val="32"/>
          <w:szCs w:val="20"/>
        </w:rPr>
        <w:t xml:space="preserve"> such as chemical pesticides and the genetic engineering of food/crops.</w:t>
      </w:r>
    </w:p>
    <w:p w:rsidR="00C6097B" w:rsidRPr="00E44079" w:rsidRDefault="008108CA" w:rsidP="00A878F9">
      <w:pPr>
        <w:numPr>
          <w:ilvl w:val="0"/>
          <w:numId w:val="2"/>
        </w:numPr>
        <w:rPr>
          <w:rFonts w:ascii="Arial" w:hAnsi="Arial" w:cs="Arial"/>
          <w:color w:val="000000"/>
          <w:sz w:val="32"/>
          <w:szCs w:val="20"/>
        </w:rPr>
      </w:pPr>
      <w:r w:rsidRPr="00E44079">
        <w:rPr>
          <w:rFonts w:ascii="Arial" w:hAnsi="Arial" w:cs="Arial"/>
          <w:color w:val="000000"/>
          <w:sz w:val="32"/>
          <w:szCs w:val="20"/>
        </w:rPr>
        <w:t>A</w:t>
      </w:r>
      <w:r w:rsidR="00CF33AB" w:rsidRPr="00E44079">
        <w:rPr>
          <w:rFonts w:ascii="Arial" w:hAnsi="Arial" w:cs="Arial"/>
          <w:color w:val="000000"/>
          <w:sz w:val="32"/>
          <w:szCs w:val="20"/>
        </w:rPr>
        <w:t xml:space="preserve">ll </w:t>
      </w:r>
      <w:r w:rsidR="00C6097B" w:rsidRPr="00E44079">
        <w:rPr>
          <w:rFonts w:ascii="Arial" w:hAnsi="Arial" w:cs="Arial"/>
          <w:color w:val="000000"/>
          <w:sz w:val="32"/>
          <w:szCs w:val="20"/>
        </w:rPr>
        <w:t>assessment</w:t>
      </w:r>
      <w:r w:rsidR="00CF33AB" w:rsidRPr="00E44079">
        <w:rPr>
          <w:rFonts w:ascii="Arial" w:hAnsi="Arial" w:cs="Arial"/>
          <w:color w:val="000000"/>
          <w:sz w:val="32"/>
          <w:szCs w:val="20"/>
        </w:rPr>
        <w:t>s</w:t>
      </w:r>
      <w:r w:rsidR="00C6097B" w:rsidRPr="00E44079">
        <w:rPr>
          <w:rFonts w:ascii="Arial" w:hAnsi="Arial" w:cs="Arial"/>
          <w:color w:val="000000"/>
          <w:sz w:val="32"/>
          <w:szCs w:val="20"/>
        </w:rPr>
        <w:t xml:space="preserve"> of potential harm should be based on the</w:t>
      </w:r>
      <w:r w:rsidR="00A878F9" w:rsidRPr="00E44079">
        <w:rPr>
          <w:rFonts w:ascii="Arial" w:hAnsi="Arial" w:cs="Arial"/>
          <w:color w:val="000000"/>
          <w:sz w:val="32"/>
          <w:szCs w:val="20"/>
        </w:rPr>
        <w:t xml:space="preserve"> precautionary principle</w:t>
      </w:r>
      <w:r w:rsidR="003351D4" w:rsidRPr="00E44079">
        <w:rPr>
          <w:rFonts w:ascii="Arial" w:hAnsi="Arial" w:cs="Arial"/>
          <w:color w:val="000000"/>
          <w:sz w:val="32"/>
          <w:szCs w:val="20"/>
        </w:rPr>
        <w:t xml:space="preserve"> and intergenerational equity. </w:t>
      </w:r>
      <w:r w:rsidR="00C6097B" w:rsidRPr="00E44079">
        <w:rPr>
          <w:rFonts w:ascii="Arial" w:hAnsi="Arial" w:cs="Arial"/>
          <w:color w:val="000000"/>
          <w:sz w:val="32"/>
          <w:szCs w:val="20"/>
        </w:rPr>
        <w:t xml:space="preserve"> </w:t>
      </w:r>
    </w:p>
    <w:p w:rsidR="00A878F9" w:rsidRPr="00E44079" w:rsidRDefault="000A54BF" w:rsidP="00A878F9">
      <w:pPr>
        <w:numPr>
          <w:ilvl w:val="0"/>
          <w:numId w:val="2"/>
        </w:numPr>
        <w:rPr>
          <w:rFonts w:ascii="Arial" w:hAnsi="Arial" w:cs="Arial"/>
          <w:color w:val="000000"/>
          <w:sz w:val="32"/>
          <w:szCs w:val="20"/>
        </w:rPr>
      </w:pPr>
      <w:r w:rsidRPr="00E44079">
        <w:rPr>
          <w:rFonts w:ascii="Arial" w:hAnsi="Arial" w:cs="Arial"/>
          <w:color w:val="000000"/>
          <w:sz w:val="32"/>
          <w:szCs w:val="20"/>
        </w:rPr>
        <w:t>P</w:t>
      </w:r>
      <w:r w:rsidR="00A878F9" w:rsidRPr="00E44079">
        <w:rPr>
          <w:rFonts w:ascii="Arial" w:hAnsi="Arial" w:cs="Arial"/>
          <w:color w:val="000000"/>
          <w:sz w:val="32"/>
          <w:szCs w:val="20"/>
        </w:rPr>
        <w:t xml:space="preserve">atenting of all life forms, </w:t>
      </w:r>
      <w:proofErr w:type="spellStart"/>
      <w:r w:rsidR="00A878F9" w:rsidRPr="00E44079">
        <w:rPr>
          <w:rFonts w:ascii="Arial" w:hAnsi="Arial" w:cs="Arial"/>
          <w:color w:val="000000"/>
          <w:sz w:val="32"/>
          <w:szCs w:val="20"/>
        </w:rPr>
        <w:t>biopiracy</w:t>
      </w:r>
      <w:proofErr w:type="spellEnd"/>
      <w:r w:rsidR="00A878F9" w:rsidRPr="00E44079">
        <w:rPr>
          <w:rFonts w:ascii="Arial" w:hAnsi="Arial" w:cs="Arial"/>
          <w:color w:val="000000"/>
          <w:sz w:val="32"/>
          <w:szCs w:val="20"/>
        </w:rPr>
        <w:t xml:space="preserve"> and </w:t>
      </w:r>
      <w:r w:rsidR="008108CA" w:rsidRPr="00E44079">
        <w:rPr>
          <w:rFonts w:ascii="Arial" w:hAnsi="Arial" w:cs="Arial"/>
          <w:color w:val="000000"/>
          <w:sz w:val="32"/>
          <w:szCs w:val="20"/>
        </w:rPr>
        <w:t>private/</w:t>
      </w:r>
      <w:r w:rsidR="00A878F9" w:rsidRPr="00E44079">
        <w:rPr>
          <w:rFonts w:ascii="Arial" w:hAnsi="Arial" w:cs="Arial"/>
          <w:color w:val="000000"/>
          <w:sz w:val="32"/>
          <w:szCs w:val="20"/>
        </w:rPr>
        <w:t>corporate control and ownership of genetic resources</w:t>
      </w:r>
      <w:r w:rsidRPr="00E44079">
        <w:rPr>
          <w:rFonts w:ascii="Arial" w:hAnsi="Arial" w:cs="Arial"/>
          <w:color w:val="000000"/>
          <w:sz w:val="32"/>
          <w:szCs w:val="20"/>
        </w:rPr>
        <w:t xml:space="preserve"> should be stopped.</w:t>
      </w:r>
    </w:p>
    <w:p w:rsidR="000A54BF" w:rsidRPr="00E44079" w:rsidRDefault="007F38BD" w:rsidP="00A878F9">
      <w:pPr>
        <w:numPr>
          <w:ilvl w:val="0"/>
          <w:numId w:val="2"/>
        </w:numPr>
        <w:rPr>
          <w:rFonts w:ascii="Arial" w:hAnsi="Arial" w:cs="Arial"/>
          <w:color w:val="000000"/>
          <w:sz w:val="32"/>
          <w:szCs w:val="20"/>
        </w:rPr>
      </w:pPr>
      <w:r w:rsidRPr="00E44079">
        <w:rPr>
          <w:rFonts w:ascii="Arial" w:hAnsi="Arial" w:cs="Arial"/>
          <w:color w:val="000000"/>
          <w:sz w:val="32"/>
          <w:szCs w:val="20"/>
        </w:rPr>
        <w:t>G</w:t>
      </w:r>
      <w:r w:rsidR="000A54BF" w:rsidRPr="00E44079">
        <w:rPr>
          <w:rFonts w:ascii="Arial" w:hAnsi="Arial" w:cs="Arial"/>
          <w:color w:val="000000"/>
          <w:sz w:val="32"/>
          <w:szCs w:val="20"/>
        </w:rPr>
        <w:t>enuine agrarian</w:t>
      </w:r>
      <w:r w:rsidR="00CF33AB" w:rsidRPr="00E44079">
        <w:rPr>
          <w:rFonts w:ascii="Arial" w:hAnsi="Arial" w:cs="Arial"/>
          <w:color w:val="000000"/>
          <w:sz w:val="32"/>
          <w:szCs w:val="20"/>
        </w:rPr>
        <w:t>,</w:t>
      </w:r>
      <w:r w:rsidR="000A54BF" w:rsidRPr="00E44079">
        <w:rPr>
          <w:rFonts w:ascii="Arial" w:hAnsi="Arial" w:cs="Arial"/>
          <w:color w:val="000000"/>
          <w:sz w:val="32"/>
          <w:szCs w:val="20"/>
        </w:rPr>
        <w:t xml:space="preserve"> fisheries</w:t>
      </w:r>
      <w:r w:rsidR="00CF33AB" w:rsidRPr="00E44079">
        <w:rPr>
          <w:rFonts w:ascii="Arial" w:hAnsi="Arial" w:cs="Arial"/>
          <w:color w:val="000000"/>
          <w:sz w:val="32"/>
          <w:szCs w:val="20"/>
        </w:rPr>
        <w:t>, forestry and pastureland</w:t>
      </w:r>
      <w:r w:rsidR="000A54BF" w:rsidRPr="00E44079">
        <w:rPr>
          <w:rFonts w:ascii="Arial" w:hAnsi="Arial" w:cs="Arial"/>
          <w:color w:val="000000"/>
          <w:sz w:val="32"/>
          <w:szCs w:val="20"/>
        </w:rPr>
        <w:t xml:space="preserve"> </w:t>
      </w:r>
      <w:r w:rsidR="00CF33AB" w:rsidRPr="00E44079">
        <w:rPr>
          <w:rFonts w:ascii="Arial" w:hAnsi="Arial" w:cs="Arial"/>
          <w:color w:val="000000"/>
          <w:sz w:val="32"/>
          <w:szCs w:val="20"/>
        </w:rPr>
        <w:t>reform</w:t>
      </w:r>
      <w:r w:rsidR="008108CA" w:rsidRPr="00E44079">
        <w:rPr>
          <w:rFonts w:ascii="Arial" w:hAnsi="Arial" w:cs="Arial"/>
          <w:color w:val="000000"/>
          <w:sz w:val="32"/>
          <w:szCs w:val="20"/>
        </w:rPr>
        <w:t>s should</w:t>
      </w:r>
      <w:r w:rsidR="00CF33AB" w:rsidRPr="00E44079">
        <w:rPr>
          <w:rFonts w:ascii="Arial" w:hAnsi="Arial" w:cs="Arial"/>
          <w:color w:val="000000"/>
          <w:sz w:val="32"/>
          <w:szCs w:val="20"/>
        </w:rPr>
        <w:t xml:space="preserve"> be implemented.</w:t>
      </w:r>
      <w:r w:rsidRPr="00E44079">
        <w:rPr>
          <w:rFonts w:ascii="Arial" w:hAnsi="Arial" w:cs="Arial"/>
          <w:color w:val="000000"/>
          <w:sz w:val="32"/>
          <w:szCs w:val="20"/>
        </w:rPr>
        <w:t xml:space="preserve"> The grabbing of land owned and/or occupied by rural communities by TNCs or any other third party should be stopped immediately.</w:t>
      </w:r>
    </w:p>
    <w:p w:rsidR="00262D90" w:rsidRPr="00E44079" w:rsidRDefault="00262D90" w:rsidP="00CF33AB">
      <w:pPr>
        <w:numPr>
          <w:ilvl w:val="0"/>
          <w:numId w:val="2"/>
        </w:numPr>
        <w:rPr>
          <w:rFonts w:ascii="Arial" w:hAnsi="Arial" w:cs="Arial"/>
          <w:color w:val="000000"/>
          <w:sz w:val="32"/>
          <w:szCs w:val="20"/>
        </w:rPr>
      </w:pPr>
      <w:r w:rsidRPr="00E44079">
        <w:rPr>
          <w:rFonts w:ascii="Arial" w:hAnsi="Arial" w:cs="Arial"/>
          <w:color w:val="000000"/>
          <w:sz w:val="32"/>
          <w:szCs w:val="20"/>
        </w:rPr>
        <w:t>Implement strict controls to prevent the price manipulation of food and agricultural products by businesses.</w:t>
      </w:r>
    </w:p>
    <w:p w:rsidR="00CF33AB" w:rsidRPr="00E44079" w:rsidRDefault="000A54BF" w:rsidP="00262D90">
      <w:pPr>
        <w:numPr>
          <w:ilvl w:val="0"/>
          <w:numId w:val="2"/>
        </w:numPr>
        <w:rPr>
          <w:rFonts w:ascii="Arial" w:hAnsi="Arial" w:cs="Arial"/>
          <w:color w:val="000000"/>
          <w:sz w:val="32"/>
          <w:szCs w:val="20"/>
        </w:rPr>
      </w:pPr>
      <w:r w:rsidRPr="00E44079">
        <w:rPr>
          <w:rFonts w:ascii="Arial" w:hAnsi="Arial" w:cs="Arial"/>
          <w:color w:val="000000"/>
          <w:sz w:val="32"/>
          <w:szCs w:val="20"/>
        </w:rPr>
        <w:t xml:space="preserve">As suggested </w:t>
      </w:r>
      <w:r w:rsidR="00262D90" w:rsidRPr="00E44079">
        <w:rPr>
          <w:rFonts w:ascii="Arial" w:hAnsi="Arial" w:cs="Arial"/>
          <w:color w:val="000000"/>
          <w:sz w:val="32"/>
          <w:szCs w:val="20"/>
        </w:rPr>
        <w:t xml:space="preserve">by </w:t>
      </w:r>
      <w:r w:rsidRPr="00E44079">
        <w:rPr>
          <w:rFonts w:ascii="Arial" w:hAnsi="Arial" w:cs="Arial"/>
          <w:color w:val="000000"/>
          <w:sz w:val="32"/>
          <w:szCs w:val="20"/>
        </w:rPr>
        <w:t xml:space="preserve">various law researchers, </w:t>
      </w:r>
      <w:r w:rsidR="00262D90" w:rsidRPr="00E44079">
        <w:rPr>
          <w:rFonts w:ascii="Arial" w:hAnsi="Arial" w:cs="Arial"/>
          <w:color w:val="000000"/>
          <w:sz w:val="32"/>
          <w:szCs w:val="20"/>
        </w:rPr>
        <w:t>a</w:t>
      </w:r>
      <w:r w:rsidRPr="00E44079">
        <w:rPr>
          <w:rFonts w:ascii="Arial" w:hAnsi="Arial" w:cs="Arial"/>
          <w:color w:val="000000"/>
          <w:sz w:val="32"/>
          <w:szCs w:val="20"/>
        </w:rPr>
        <w:t>n</w:t>
      </w:r>
      <w:r w:rsidR="00DA1C00" w:rsidRPr="00E44079">
        <w:rPr>
          <w:rFonts w:ascii="Arial" w:hAnsi="Arial" w:cs="Arial"/>
          <w:color w:val="000000"/>
          <w:sz w:val="32"/>
          <w:szCs w:val="20"/>
        </w:rPr>
        <w:t xml:space="preserve"> “</w:t>
      </w:r>
      <w:r w:rsidR="00DA1C00" w:rsidRPr="00E44079">
        <w:rPr>
          <w:rFonts w:ascii="Arial" w:hAnsi="Arial" w:cs="Arial"/>
          <w:i/>
          <w:color w:val="000000"/>
          <w:sz w:val="32"/>
          <w:szCs w:val="20"/>
        </w:rPr>
        <w:t>International Tribunal designed to effectively address human rights violations committed by TNCs and provide redress to victims of such violations</w:t>
      </w:r>
      <w:r w:rsidR="00DA1C00" w:rsidRPr="00E44079">
        <w:rPr>
          <w:rFonts w:ascii="Arial" w:hAnsi="Arial" w:cs="Arial"/>
          <w:color w:val="000000"/>
          <w:sz w:val="32"/>
          <w:szCs w:val="20"/>
        </w:rPr>
        <w:t>”</w:t>
      </w:r>
      <w:r w:rsidRPr="00E44079">
        <w:rPr>
          <w:rStyle w:val="FootnoteReference"/>
          <w:rFonts w:ascii="Arial" w:hAnsi="Arial" w:cs="Arial"/>
          <w:color w:val="000000"/>
          <w:sz w:val="32"/>
          <w:szCs w:val="20"/>
        </w:rPr>
        <w:footnoteReference w:id="6"/>
      </w:r>
      <w:r w:rsidRPr="00E44079">
        <w:rPr>
          <w:rFonts w:ascii="Arial" w:hAnsi="Arial" w:cs="Arial"/>
          <w:color w:val="000000"/>
          <w:sz w:val="32"/>
          <w:szCs w:val="20"/>
        </w:rPr>
        <w:t xml:space="preserve"> should be developed and effectively </w:t>
      </w:r>
      <w:r w:rsidR="003351D4" w:rsidRPr="00E44079">
        <w:rPr>
          <w:rFonts w:ascii="Arial" w:hAnsi="Arial" w:cs="Arial"/>
          <w:color w:val="000000"/>
          <w:sz w:val="32"/>
          <w:szCs w:val="20"/>
        </w:rPr>
        <w:t>implemented</w:t>
      </w:r>
      <w:r w:rsidR="00DA1C00" w:rsidRPr="00E44079">
        <w:rPr>
          <w:rFonts w:ascii="Arial" w:hAnsi="Arial" w:cs="Arial"/>
          <w:color w:val="000000"/>
          <w:sz w:val="32"/>
          <w:szCs w:val="20"/>
        </w:rPr>
        <w:t xml:space="preserve">.   </w:t>
      </w:r>
      <w:r w:rsidR="001A758D" w:rsidRPr="00E44079">
        <w:rPr>
          <w:rFonts w:ascii="Arial" w:hAnsi="Arial" w:cs="Arial"/>
          <w:color w:val="000000"/>
          <w:sz w:val="32"/>
          <w:szCs w:val="20"/>
        </w:rPr>
        <w:t xml:space="preserve"> </w:t>
      </w:r>
    </w:p>
    <w:sectPr w:rsidR="00CF33AB" w:rsidRPr="00E44079" w:rsidSect="0068678B">
      <w:pgSz w:w="11905" w:h="16837"/>
      <w:pgMar w:top="1296" w:right="144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354" w:rsidRDefault="00096354" w:rsidP="000C2DBA">
      <w:r>
        <w:separator/>
      </w:r>
    </w:p>
  </w:endnote>
  <w:endnote w:type="continuationSeparator" w:id="0">
    <w:p w:rsidR="00096354" w:rsidRDefault="00096354" w:rsidP="000C2DBA">
      <w:r>
        <w:continuationSeparator/>
      </w:r>
    </w:p>
  </w:endnote>
  <w:endnote w:id="1">
    <w:p w:rsidR="00A53C83" w:rsidRDefault="00A53C83" w:rsidP="00DC5E4E">
      <w:pPr>
        <w:pStyle w:val="EndnoteText"/>
        <w:rPr>
          <w:sz w:val="56"/>
          <w:szCs w:val="56"/>
          <w:lang w:val="en-US"/>
        </w:rPr>
      </w:pPr>
    </w:p>
    <w:p w:rsidR="00DC5E4E" w:rsidRPr="00A53C83" w:rsidRDefault="00A53C83" w:rsidP="00DC5E4E">
      <w:pPr>
        <w:pStyle w:val="EndnoteText"/>
        <w:rPr>
          <w:b/>
          <w:sz w:val="56"/>
          <w:szCs w:val="56"/>
          <w:lang w:val="en-US"/>
        </w:rPr>
      </w:pPr>
      <w:r w:rsidRPr="00A53C83">
        <w:rPr>
          <w:b/>
          <w:sz w:val="56"/>
          <w:szCs w:val="56"/>
          <w:lang w:val="en-US"/>
        </w:rPr>
        <w:t>www.agricorporateaccountability.net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354" w:rsidRDefault="00096354" w:rsidP="000C2DBA">
      <w:r>
        <w:separator/>
      </w:r>
    </w:p>
  </w:footnote>
  <w:footnote w:type="continuationSeparator" w:id="0">
    <w:p w:rsidR="00096354" w:rsidRDefault="00096354" w:rsidP="000C2DBA">
      <w:r>
        <w:continuationSeparator/>
      </w:r>
    </w:p>
  </w:footnote>
  <w:footnote w:id="1">
    <w:p w:rsidR="005F35EE" w:rsidRPr="005F35EE" w:rsidRDefault="005F35EE">
      <w:pPr>
        <w:pStyle w:val="FootnoteText"/>
        <w:rPr>
          <w:rFonts w:ascii="Arial" w:hAnsi="Arial" w:cs="Arial"/>
          <w:sz w:val="18"/>
          <w:szCs w:val="18"/>
          <w:lang w:val="en-US"/>
        </w:rPr>
      </w:pPr>
      <w:r w:rsidRPr="005F35EE">
        <w:rPr>
          <w:rStyle w:val="FootnoteReference"/>
          <w:rFonts w:ascii="Arial" w:hAnsi="Arial" w:cs="Arial"/>
          <w:sz w:val="18"/>
          <w:szCs w:val="18"/>
        </w:rPr>
        <w:footnoteRef/>
      </w:r>
      <w:r w:rsidRPr="005F35EE">
        <w:rPr>
          <w:rFonts w:ascii="Arial" w:hAnsi="Arial" w:cs="Arial"/>
          <w:sz w:val="18"/>
          <w:szCs w:val="18"/>
        </w:rPr>
        <w:t xml:space="preserve"> </w:t>
      </w:r>
      <w:r w:rsidRPr="005F35EE">
        <w:rPr>
          <w:rFonts w:ascii="Arial" w:hAnsi="Arial" w:cs="Arial"/>
          <w:sz w:val="18"/>
          <w:szCs w:val="18"/>
          <w:lang w:val="en-US"/>
        </w:rPr>
        <w:t>“Who owns Nature? Corporate power and the Final Frontier in the Commodification of Life”, ETC group, November 2008</w:t>
      </w:r>
    </w:p>
  </w:footnote>
  <w:footnote w:id="2">
    <w:p w:rsidR="005F35EE" w:rsidRPr="005F35EE" w:rsidRDefault="005F35EE" w:rsidP="000C2DBA">
      <w:pPr>
        <w:pStyle w:val="FootnoteText"/>
        <w:rPr>
          <w:rFonts w:ascii="Arial" w:hAnsi="Arial" w:cs="Arial"/>
          <w:sz w:val="18"/>
          <w:szCs w:val="18"/>
        </w:rPr>
      </w:pPr>
      <w:r>
        <w:rPr>
          <w:rFonts w:ascii="Arial" w:hAnsi="Arial" w:cs="Arial"/>
          <w:sz w:val="18"/>
          <w:szCs w:val="18"/>
        </w:rPr>
        <w:t xml:space="preserve">3. </w:t>
      </w:r>
      <w:r w:rsidRPr="005F35EE">
        <w:rPr>
          <w:rFonts w:ascii="Arial" w:hAnsi="Arial" w:cs="Arial"/>
          <w:sz w:val="18"/>
          <w:szCs w:val="18"/>
        </w:rPr>
        <w:t xml:space="preserve"> </w:t>
      </w:r>
      <w:proofErr w:type="spellStart"/>
      <w:r w:rsidRPr="005F35EE">
        <w:rPr>
          <w:rFonts w:ascii="Arial" w:hAnsi="Arial" w:cs="Arial"/>
          <w:sz w:val="18"/>
          <w:szCs w:val="18"/>
        </w:rPr>
        <w:t>Agrow</w:t>
      </w:r>
      <w:proofErr w:type="spellEnd"/>
      <w:r w:rsidRPr="005F35EE">
        <w:rPr>
          <w:rFonts w:ascii="Arial" w:hAnsi="Arial" w:cs="Arial"/>
          <w:sz w:val="18"/>
          <w:szCs w:val="18"/>
        </w:rPr>
        <w:t>, 2008.</w:t>
      </w:r>
    </w:p>
  </w:footnote>
  <w:footnote w:id="3">
    <w:p w:rsidR="00D8678C" w:rsidRPr="00716FC5" w:rsidRDefault="00D8678C" w:rsidP="00D8678C">
      <w:pPr>
        <w:pStyle w:val="Title1"/>
        <w:spacing w:before="0" w:beforeAutospacing="0" w:after="0" w:afterAutospacing="0"/>
        <w:rPr>
          <w:rFonts w:ascii="Arial" w:hAnsi="Arial" w:cs="Arial"/>
          <w:sz w:val="18"/>
          <w:szCs w:val="18"/>
        </w:rPr>
      </w:pPr>
      <w:r w:rsidRPr="005F35EE">
        <w:rPr>
          <w:rStyle w:val="FootnoteReference"/>
          <w:rFonts w:ascii="Arial" w:hAnsi="Arial" w:cs="Arial"/>
          <w:sz w:val="18"/>
          <w:szCs w:val="18"/>
        </w:rPr>
        <w:footnoteRef/>
      </w:r>
      <w:r w:rsidRPr="005F35EE">
        <w:rPr>
          <w:rFonts w:ascii="Arial" w:hAnsi="Arial" w:cs="Arial"/>
          <w:sz w:val="18"/>
          <w:szCs w:val="18"/>
        </w:rPr>
        <w:t xml:space="preserve"> </w:t>
      </w:r>
      <w:r w:rsidRPr="00716FC5">
        <w:rPr>
          <w:rFonts w:ascii="Arial" w:hAnsi="Arial" w:cs="Arial"/>
          <w:sz w:val="18"/>
          <w:szCs w:val="18"/>
        </w:rPr>
        <w:t xml:space="preserve">Making a killing from hunger: </w:t>
      </w:r>
      <w:r w:rsidRPr="00716FC5">
        <w:rPr>
          <w:rStyle w:val="Strong"/>
          <w:rFonts w:ascii="Arial" w:hAnsi="Arial" w:cs="Arial"/>
          <w:b w:val="0"/>
          <w:sz w:val="18"/>
          <w:szCs w:val="18"/>
        </w:rPr>
        <w:t>We need to overturn food policy, now</w:t>
      </w:r>
      <w:proofErr w:type="gramStart"/>
      <w:r w:rsidRPr="00716FC5">
        <w:rPr>
          <w:rStyle w:val="Strong"/>
          <w:rFonts w:ascii="Arial" w:hAnsi="Arial" w:cs="Arial"/>
          <w:b w:val="0"/>
          <w:sz w:val="18"/>
          <w:szCs w:val="18"/>
        </w:rPr>
        <w:t>!,</w:t>
      </w:r>
      <w:proofErr w:type="gramEnd"/>
      <w:r w:rsidRPr="00716FC5">
        <w:rPr>
          <w:rStyle w:val="Strong"/>
          <w:rFonts w:ascii="Arial" w:hAnsi="Arial" w:cs="Arial"/>
          <w:b w:val="0"/>
          <w:sz w:val="18"/>
          <w:szCs w:val="18"/>
        </w:rPr>
        <w:t xml:space="preserve"> GRAIN, 2008.  http://www.grain.org/articles/?id=39</w:t>
      </w:r>
    </w:p>
  </w:footnote>
  <w:footnote w:id="4">
    <w:p w:rsidR="00716FC5" w:rsidRPr="00716FC5" w:rsidRDefault="00716FC5">
      <w:pPr>
        <w:pStyle w:val="FootnoteText"/>
        <w:rPr>
          <w:lang w:val="en-US"/>
        </w:rPr>
      </w:pPr>
      <w:r>
        <w:rPr>
          <w:rStyle w:val="FootnoteReference"/>
        </w:rPr>
        <w:footnoteRef/>
      </w:r>
      <w:r>
        <w:t xml:space="preserve"> </w:t>
      </w:r>
      <w:r w:rsidRPr="00716FC5">
        <w:rPr>
          <w:rFonts w:ascii="Arial" w:hAnsi="Arial" w:cs="Arial"/>
          <w:sz w:val="18"/>
          <w:szCs w:val="18"/>
          <w:lang w:val="en-US"/>
        </w:rPr>
        <w:t>Global agribusiness: two decades of plunder, Seedling, GRAIN, July 2010.</w:t>
      </w:r>
    </w:p>
  </w:footnote>
  <w:footnote w:id="5">
    <w:p w:rsidR="00B50679" w:rsidRPr="00B50679" w:rsidRDefault="00B50679">
      <w:pPr>
        <w:pStyle w:val="FootnoteText"/>
        <w:rPr>
          <w:rFonts w:ascii="Arial" w:hAnsi="Arial" w:cs="Arial"/>
          <w:sz w:val="18"/>
          <w:szCs w:val="18"/>
          <w:lang w:val="en-US"/>
        </w:rPr>
      </w:pPr>
      <w:r w:rsidRPr="00B50679">
        <w:rPr>
          <w:rStyle w:val="FootnoteReference"/>
          <w:rFonts w:ascii="Arial" w:hAnsi="Arial" w:cs="Arial"/>
          <w:sz w:val="18"/>
          <w:szCs w:val="18"/>
        </w:rPr>
        <w:footnoteRef/>
      </w:r>
      <w:r w:rsidRPr="00B50679">
        <w:rPr>
          <w:rFonts w:ascii="Arial" w:hAnsi="Arial" w:cs="Arial"/>
          <w:sz w:val="18"/>
          <w:szCs w:val="18"/>
        </w:rPr>
        <w:t xml:space="preserve"> Natalya s. Pak and James P. </w:t>
      </w:r>
      <w:proofErr w:type="spellStart"/>
      <w:r w:rsidRPr="00B50679">
        <w:rPr>
          <w:rFonts w:ascii="Arial" w:hAnsi="Arial" w:cs="Arial"/>
          <w:sz w:val="18"/>
          <w:szCs w:val="18"/>
        </w:rPr>
        <w:t>Nussbaumer</w:t>
      </w:r>
      <w:proofErr w:type="spellEnd"/>
      <w:r w:rsidRPr="00B50679">
        <w:rPr>
          <w:rFonts w:ascii="Arial" w:hAnsi="Arial" w:cs="Arial"/>
          <w:sz w:val="18"/>
          <w:szCs w:val="18"/>
        </w:rPr>
        <w:t>, “</w:t>
      </w:r>
      <w:r w:rsidRPr="00B50679">
        <w:rPr>
          <w:rFonts w:ascii="Arial" w:hAnsi="Arial" w:cs="Arial"/>
          <w:sz w:val="18"/>
          <w:szCs w:val="18"/>
          <w:lang w:val="en-US"/>
        </w:rPr>
        <w:t xml:space="preserve">Beyond Impunity: Strengthening the Legal Accountability of Transnational Corporations for Human Rights Abuses”. </w:t>
      </w:r>
      <w:proofErr w:type="spellStart"/>
      <w:r w:rsidRPr="00B50679">
        <w:rPr>
          <w:rFonts w:ascii="Arial" w:hAnsi="Arial" w:cs="Arial"/>
          <w:sz w:val="18"/>
          <w:szCs w:val="18"/>
          <w:lang w:val="en-US"/>
        </w:rPr>
        <w:t>Hertie</w:t>
      </w:r>
      <w:proofErr w:type="spellEnd"/>
      <w:r w:rsidRPr="00B50679">
        <w:rPr>
          <w:rFonts w:ascii="Arial" w:hAnsi="Arial" w:cs="Arial"/>
          <w:sz w:val="18"/>
          <w:szCs w:val="18"/>
          <w:lang w:val="en-US"/>
        </w:rPr>
        <w:t xml:space="preserve"> School of Governance – Working Papers, No 45 November 2009.</w:t>
      </w:r>
    </w:p>
  </w:footnote>
  <w:footnote w:id="6">
    <w:p w:rsidR="000A54BF" w:rsidRPr="000A54BF" w:rsidRDefault="000A54BF">
      <w:pPr>
        <w:pStyle w:val="FootnoteText"/>
        <w:rPr>
          <w:lang w:val="en-US"/>
        </w:rPr>
      </w:pPr>
      <w:r>
        <w:rPr>
          <w:rStyle w:val="FootnoteReference"/>
        </w:rPr>
        <w:footnoteRef/>
      </w:r>
      <w:r>
        <w:t xml:space="preserve"> </w:t>
      </w:r>
      <w:r>
        <w:rPr>
          <w:lang w:val="en-US"/>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62836"/>
    <w:multiLevelType w:val="hybridMultilevel"/>
    <w:tmpl w:val="0E728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C719B"/>
    <w:multiLevelType w:val="hybridMultilevel"/>
    <w:tmpl w:val="2D7EA834"/>
    <w:lvl w:ilvl="0" w:tplc="6116EF98">
      <w:start w:val="1"/>
      <w:numFmt w:val="bullet"/>
      <w:lvlText w:val="•"/>
      <w:lvlJc w:val="left"/>
      <w:pPr>
        <w:tabs>
          <w:tab w:val="num" w:pos="720"/>
        </w:tabs>
        <w:ind w:left="720" w:hanging="360"/>
      </w:pPr>
      <w:rPr>
        <w:rFonts w:ascii="Times New Roman" w:hAnsi="Times New Roman" w:hint="default"/>
      </w:rPr>
    </w:lvl>
    <w:lvl w:ilvl="1" w:tplc="35DC9D08" w:tentative="1">
      <w:start w:val="1"/>
      <w:numFmt w:val="bullet"/>
      <w:lvlText w:val="•"/>
      <w:lvlJc w:val="left"/>
      <w:pPr>
        <w:tabs>
          <w:tab w:val="num" w:pos="1440"/>
        </w:tabs>
        <w:ind w:left="1440" w:hanging="360"/>
      </w:pPr>
      <w:rPr>
        <w:rFonts w:ascii="Times New Roman" w:hAnsi="Times New Roman" w:hint="default"/>
      </w:rPr>
    </w:lvl>
    <w:lvl w:ilvl="2" w:tplc="A712E2DC" w:tentative="1">
      <w:start w:val="1"/>
      <w:numFmt w:val="bullet"/>
      <w:lvlText w:val="•"/>
      <w:lvlJc w:val="left"/>
      <w:pPr>
        <w:tabs>
          <w:tab w:val="num" w:pos="2160"/>
        </w:tabs>
        <w:ind w:left="2160" w:hanging="360"/>
      </w:pPr>
      <w:rPr>
        <w:rFonts w:ascii="Times New Roman" w:hAnsi="Times New Roman" w:hint="default"/>
      </w:rPr>
    </w:lvl>
    <w:lvl w:ilvl="3" w:tplc="BAC0E918" w:tentative="1">
      <w:start w:val="1"/>
      <w:numFmt w:val="bullet"/>
      <w:lvlText w:val="•"/>
      <w:lvlJc w:val="left"/>
      <w:pPr>
        <w:tabs>
          <w:tab w:val="num" w:pos="2880"/>
        </w:tabs>
        <w:ind w:left="2880" w:hanging="360"/>
      </w:pPr>
      <w:rPr>
        <w:rFonts w:ascii="Times New Roman" w:hAnsi="Times New Roman" w:hint="default"/>
      </w:rPr>
    </w:lvl>
    <w:lvl w:ilvl="4" w:tplc="F5C64602" w:tentative="1">
      <w:start w:val="1"/>
      <w:numFmt w:val="bullet"/>
      <w:lvlText w:val="•"/>
      <w:lvlJc w:val="left"/>
      <w:pPr>
        <w:tabs>
          <w:tab w:val="num" w:pos="3600"/>
        </w:tabs>
        <w:ind w:left="3600" w:hanging="360"/>
      </w:pPr>
      <w:rPr>
        <w:rFonts w:ascii="Times New Roman" w:hAnsi="Times New Roman" w:hint="default"/>
      </w:rPr>
    </w:lvl>
    <w:lvl w:ilvl="5" w:tplc="084A578E" w:tentative="1">
      <w:start w:val="1"/>
      <w:numFmt w:val="bullet"/>
      <w:lvlText w:val="•"/>
      <w:lvlJc w:val="left"/>
      <w:pPr>
        <w:tabs>
          <w:tab w:val="num" w:pos="4320"/>
        </w:tabs>
        <w:ind w:left="4320" w:hanging="360"/>
      </w:pPr>
      <w:rPr>
        <w:rFonts w:ascii="Times New Roman" w:hAnsi="Times New Roman" w:hint="default"/>
      </w:rPr>
    </w:lvl>
    <w:lvl w:ilvl="6" w:tplc="72885C9A" w:tentative="1">
      <w:start w:val="1"/>
      <w:numFmt w:val="bullet"/>
      <w:lvlText w:val="•"/>
      <w:lvlJc w:val="left"/>
      <w:pPr>
        <w:tabs>
          <w:tab w:val="num" w:pos="5040"/>
        </w:tabs>
        <w:ind w:left="5040" w:hanging="360"/>
      </w:pPr>
      <w:rPr>
        <w:rFonts w:ascii="Times New Roman" w:hAnsi="Times New Roman" w:hint="default"/>
      </w:rPr>
    </w:lvl>
    <w:lvl w:ilvl="7" w:tplc="F896593E" w:tentative="1">
      <w:start w:val="1"/>
      <w:numFmt w:val="bullet"/>
      <w:lvlText w:val="•"/>
      <w:lvlJc w:val="left"/>
      <w:pPr>
        <w:tabs>
          <w:tab w:val="num" w:pos="5760"/>
        </w:tabs>
        <w:ind w:left="5760" w:hanging="360"/>
      </w:pPr>
      <w:rPr>
        <w:rFonts w:ascii="Times New Roman" w:hAnsi="Times New Roman" w:hint="default"/>
      </w:rPr>
    </w:lvl>
    <w:lvl w:ilvl="8" w:tplc="26B2DFAA" w:tentative="1">
      <w:start w:val="1"/>
      <w:numFmt w:val="bullet"/>
      <w:lvlText w:val="•"/>
      <w:lvlJc w:val="left"/>
      <w:pPr>
        <w:tabs>
          <w:tab w:val="num" w:pos="6480"/>
        </w:tabs>
        <w:ind w:left="6480" w:hanging="360"/>
      </w:pPr>
      <w:rPr>
        <w:rFonts w:ascii="Times New Roman" w:hAnsi="Times New Roman" w:hint="default"/>
      </w:rPr>
    </w:lvl>
  </w:abstractNum>
  <w:abstractNum w:abstractNumId="2">
    <w:nsid w:val="592223BC"/>
    <w:multiLevelType w:val="hybridMultilevel"/>
    <w:tmpl w:val="9A32E3C0"/>
    <w:lvl w:ilvl="0" w:tplc="E9A88D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231A3"/>
    <w:rsid w:val="000019D6"/>
    <w:rsid w:val="00022973"/>
    <w:rsid w:val="00096354"/>
    <w:rsid w:val="000A54BF"/>
    <w:rsid w:val="000A5FCE"/>
    <w:rsid w:val="000B36DB"/>
    <w:rsid w:val="000B4D45"/>
    <w:rsid w:val="000B59EC"/>
    <w:rsid w:val="000C0975"/>
    <w:rsid w:val="000C2DBA"/>
    <w:rsid w:val="000F30B2"/>
    <w:rsid w:val="00131C92"/>
    <w:rsid w:val="0013735D"/>
    <w:rsid w:val="001A758D"/>
    <w:rsid w:val="001D4A32"/>
    <w:rsid w:val="00215A23"/>
    <w:rsid w:val="00262D90"/>
    <w:rsid w:val="00273A6D"/>
    <w:rsid w:val="0028503A"/>
    <w:rsid w:val="002902A1"/>
    <w:rsid w:val="002A7D11"/>
    <w:rsid w:val="002E1831"/>
    <w:rsid w:val="003351D4"/>
    <w:rsid w:val="0034593B"/>
    <w:rsid w:val="00362A2B"/>
    <w:rsid w:val="003644CE"/>
    <w:rsid w:val="00397BD0"/>
    <w:rsid w:val="003C7BCC"/>
    <w:rsid w:val="004341C8"/>
    <w:rsid w:val="004864E8"/>
    <w:rsid w:val="004868C8"/>
    <w:rsid w:val="004A25FD"/>
    <w:rsid w:val="004E42CD"/>
    <w:rsid w:val="004F12D3"/>
    <w:rsid w:val="00552B64"/>
    <w:rsid w:val="005B5460"/>
    <w:rsid w:val="005C4B0B"/>
    <w:rsid w:val="005C54B2"/>
    <w:rsid w:val="005F0A6D"/>
    <w:rsid w:val="005F35EE"/>
    <w:rsid w:val="00623C20"/>
    <w:rsid w:val="00633071"/>
    <w:rsid w:val="00664267"/>
    <w:rsid w:val="00671521"/>
    <w:rsid w:val="006853FF"/>
    <w:rsid w:val="0068678B"/>
    <w:rsid w:val="006A090B"/>
    <w:rsid w:val="006A419A"/>
    <w:rsid w:val="006F708D"/>
    <w:rsid w:val="00716FC5"/>
    <w:rsid w:val="007231A3"/>
    <w:rsid w:val="007438E9"/>
    <w:rsid w:val="0076026C"/>
    <w:rsid w:val="007740A7"/>
    <w:rsid w:val="0079642F"/>
    <w:rsid w:val="007B1117"/>
    <w:rsid w:val="007F38BD"/>
    <w:rsid w:val="008108CA"/>
    <w:rsid w:val="008157B7"/>
    <w:rsid w:val="00833D73"/>
    <w:rsid w:val="00886446"/>
    <w:rsid w:val="008B76D1"/>
    <w:rsid w:val="009270B9"/>
    <w:rsid w:val="00934FD0"/>
    <w:rsid w:val="00943B13"/>
    <w:rsid w:val="009752A1"/>
    <w:rsid w:val="009B5299"/>
    <w:rsid w:val="009F3765"/>
    <w:rsid w:val="00A02507"/>
    <w:rsid w:val="00A22553"/>
    <w:rsid w:val="00A36F72"/>
    <w:rsid w:val="00A37FEE"/>
    <w:rsid w:val="00A51985"/>
    <w:rsid w:val="00A53C83"/>
    <w:rsid w:val="00A878F9"/>
    <w:rsid w:val="00AA57D2"/>
    <w:rsid w:val="00AC6CB9"/>
    <w:rsid w:val="00AE12AE"/>
    <w:rsid w:val="00B50679"/>
    <w:rsid w:val="00B909EF"/>
    <w:rsid w:val="00B9660F"/>
    <w:rsid w:val="00BA0877"/>
    <w:rsid w:val="00BA7DE7"/>
    <w:rsid w:val="00BB6D41"/>
    <w:rsid w:val="00BC0070"/>
    <w:rsid w:val="00BE1364"/>
    <w:rsid w:val="00C178A4"/>
    <w:rsid w:val="00C20800"/>
    <w:rsid w:val="00C6097B"/>
    <w:rsid w:val="00C621AD"/>
    <w:rsid w:val="00C811BC"/>
    <w:rsid w:val="00CC72C8"/>
    <w:rsid w:val="00CF33AB"/>
    <w:rsid w:val="00D168AA"/>
    <w:rsid w:val="00D20013"/>
    <w:rsid w:val="00D316A8"/>
    <w:rsid w:val="00D34181"/>
    <w:rsid w:val="00D80554"/>
    <w:rsid w:val="00D836CB"/>
    <w:rsid w:val="00D8678C"/>
    <w:rsid w:val="00D902C6"/>
    <w:rsid w:val="00DA1C00"/>
    <w:rsid w:val="00DA622C"/>
    <w:rsid w:val="00DB3E3E"/>
    <w:rsid w:val="00DC5E4E"/>
    <w:rsid w:val="00E131D9"/>
    <w:rsid w:val="00E44079"/>
    <w:rsid w:val="00E53E60"/>
    <w:rsid w:val="00E66FDD"/>
    <w:rsid w:val="00E77B12"/>
    <w:rsid w:val="00E824CA"/>
    <w:rsid w:val="00EA2FA3"/>
    <w:rsid w:val="00EA753F"/>
    <w:rsid w:val="00F04EED"/>
    <w:rsid w:val="00F27DC4"/>
    <w:rsid w:val="00F53A67"/>
    <w:rsid w:val="00FB3902"/>
    <w:rsid w:val="00FE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1A3"/>
    <w:pPr>
      <w:widowControl w:val="0"/>
      <w:suppressAutoHyphens/>
    </w:pPr>
    <w:rPr>
      <w:rFonts w:ascii="Times New Roman" w:eastAsia="Arial Unicode MS" w:hAnsi="Times New Roman"/>
      <w:kern w:val="1"/>
      <w:sz w:val="24"/>
      <w:szCs w:val="24"/>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231A3"/>
  </w:style>
  <w:style w:type="character" w:styleId="Hyperlink">
    <w:name w:val="Hyperlink"/>
    <w:rsid w:val="007231A3"/>
    <w:rPr>
      <w:color w:val="000080"/>
      <w:u w:val="single"/>
    </w:rPr>
  </w:style>
  <w:style w:type="paragraph" w:customStyle="1" w:styleId="ecxmsobodytext2">
    <w:name w:val="ecxmsobodytext2"/>
    <w:basedOn w:val="Normal"/>
    <w:rsid w:val="007231A3"/>
    <w:pPr>
      <w:spacing w:after="324"/>
    </w:pPr>
  </w:style>
  <w:style w:type="character" w:styleId="CommentReference">
    <w:name w:val="annotation reference"/>
    <w:basedOn w:val="DefaultParagraphFont"/>
    <w:rsid w:val="007231A3"/>
    <w:rPr>
      <w:sz w:val="16"/>
      <w:szCs w:val="16"/>
    </w:rPr>
  </w:style>
  <w:style w:type="paragraph" w:styleId="CommentText">
    <w:name w:val="annotation text"/>
    <w:basedOn w:val="Normal"/>
    <w:link w:val="CommentTextChar"/>
    <w:rsid w:val="007231A3"/>
    <w:pPr>
      <w:widowControl/>
      <w:suppressAutoHyphens w:val="0"/>
    </w:pPr>
    <w:rPr>
      <w:rFonts w:eastAsia="Times New Roman"/>
      <w:kern w:val="0"/>
      <w:sz w:val="20"/>
      <w:szCs w:val="20"/>
      <w:lang w:val="en-US"/>
    </w:rPr>
  </w:style>
  <w:style w:type="character" w:customStyle="1" w:styleId="CommentTextChar">
    <w:name w:val="Comment Text Char"/>
    <w:basedOn w:val="DefaultParagraphFont"/>
    <w:link w:val="CommentText"/>
    <w:rsid w:val="007231A3"/>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7231A3"/>
    <w:rPr>
      <w:rFonts w:ascii="Tahoma" w:hAnsi="Tahoma" w:cs="Tahoma"/>
      <w:sz w:val="16"/>
      <w:szCs w:val="16"/>
    </w:rPr>
  </w:style>
  <w:style w:type="character" w:customStyle="1" w:styleId="BalloonTextChar">
    <w:name w:val="Balloon Text Char"/>
    <w:basedOn w:val="DefaultParagraphFont"/>
    <w:link w:val="BalloonText"/>
    <w:uiPriority w:val="99"/>
    <w:semiHidden/>
    <w:rsid w:val="007231A3"/>
    <w:rPr>
      <w:rFonts w:ascii="Tahoma" w:eastAsia="Arial Unicode MS" w:hAnsi="Tahoma" w:cs="Tahoma"/>
      <w:kern w:val="1"/>
      <w:sz w:val="16"/>
      <w:szCs w:val="16"/>
      <w:lang w:val="en-PH"/>
    </w:rPr>
  </w:style>
  <w:style w:type="paragraph" w:styleId="EndnoteText">
    <w:name w:val="endnote text"/>
    <w:basedOn w:val="Normal"/>
    <w:link w:val="EndnoteTextChar"/>
    <w:uiPriority w:val="99"/>
    <w:unhideWhenUsed/>
    <w:rsid w:val="000C2DBA"/>
    <w:rPr>
      <w:sz w:val="20"/>
      <w:szCs w:val="20"/>
    </w:rPr>
  </w:style>
  <w:style w:type="character" w:customStyle="1" w:styleId="EndnoteTextChar">
    <w:name w:val="Endnote Text Char"/>
    <w:basedOn w:val="DefaultParagraphFont"/>
    <w:link w:val="EndnoteText"/>
    <w:uiPriority w:val="99"/>
    <w:rsid w:val="000C2DBA"/>
    <w:rPr>
      <w:rFonts w:ascii="Times New Roman" w:eastAsia="Arial Unicode MS" w:hAnsi="Times New Roman"/>
      <w:kern w:val="1"/>
      <w:lang w:val="en-PH"/>
    </w:rPr>
  </w:style>
  <w:style w:type="character" w:customStyle="1" w:styleId="main">
    <w:name w:val="main"/>
    <w:basedOn w:val="DefaultParagraphFont"/>
    <w:rsid w:val="00E131D9"/>
  </w:style>
  <w:style w:type="character" w:styleId="FootnoteReference">
    <w:name w:val="footnote reference"/>
    <w:basedOn w:val="DefaultParagraphFont"/>
    <w:rsid w:val="00E131D9"/>
    <w:rPr>
      <w:vertAlign w:val="superscript"/>
    </w:rPr>
  </w:style>
  <w:style w:type="paragraph" w:customStyle="1" w:styleId="Title1">
    <w:name w:val="Title1"/>
    <w:basedOn w:val="Normal"/>
    <w:rsid w:val="00E131D9"/>
    <w:pPr>
      <w:widowControl/>
      <w:suppressAutoHyphens w:val="0"/>
      <w:spacing w:before="100" w:beforeAutospacing="1" w:after="100" w:afterAutospacing="1"/>
    </w:pPr>
    <w:rPr>
      <w:rFonts w:eastAsia="Times New Roman"/>
      <w:kern w:val="0"/>
      <w:lang w:val="en-US"/>
    </w:rPr>
  </w:style>
  <w:style w:type="character" w:styleId="Strong">
    <w:name w:val="Strong"/>
    <w:basedOn w:val="DefaultParagraphFont"/>
    <w:uiPriority w:val="22"/>
    <w:qFormat/>
    <w:rsid w:val="00E131D9"/>
    <w:rPr>
      <w:b/>
      <w:bCs/>
    </w:rPr>
  </w:style>
  <w:style w:type="character" w:styleId="EndnoteReference">
    <w:name w:val="endnote reference"/>
    <w:basedOn w:val="DefaultParagraphFont"/>
    <w:uiPriority w:val="99"/>
    <w:semiHidden/>
    <w:unhideWhenUsed/>
    <w:rsid w:val="00E131D9"/>
    <w:rPr>
      <w:vertAlign w:val="superscript"/>
    </w:rPr>
  </w:style>
  <w:style w:type="paragraph" w:styleId="FootnoteText">
    <w:name w:val="footnote text"/>
    <w:basedOn w:val="Normal"/>
    <w:link w:val="FootnoteTextChar"/>
    <w:uiPriority w:val="99"/>
    <w:semiHidden/>
    <w:unhideWhenUsed/>
    <w:rsid w:val="005F35EE"/>
    <w:rPr>
      <w:sz w:val="20"/>
      <w:szCs w:val="20"/>
    </w:rPr>
  </w:style>
  <w:style w:type="character" w:customStyle="1" w:styleId="FootnoteTextChar">
    <w:name w:val="Footnote Text Char"/>
    <w:basedOn w:val="DefaultParagraphFont"/>
    <w:link w:val="FootnoteText"/>
    <w:uiPriority w:val="99"/>
    <w:semiHidden/>
    <w:rsid w:val="005F35EE"/>
    <w:rPr>
      <w:rFonts w:ascii="Times New Roman" w:eastAsia="Arial Unicode MS" w:hAnsi="Times New Roman"/>
      <w:kern w:val="1"/>
      <w:lang w:val="en-PH"/>
    </w:rPr>
  </w:style>
  <w:style w:type="paragraph" w:styleId="CommentSubject">
    <w:name w:val="annotation subject"/>
    <w:basedOn w:val="CommentText"/>
    <w:next w:val="CommentText"/>
    <w:link w:val="CommentSubjectChar"/>
    <w:uiPriority w:val="99"/>
    <w:semiHidden/>
    <w:unhideWhenUsed/>
    <w:rsid w:val="00BE1364"/>
    <w:pPr>
      <w:widowControl w:val="0"/>
      <w:suppressAutoHyphens/>
    </w:pPr>
    <w:rPr>
      <w:rFonts w:eastAsia="Arial Unicode MS"/>
      <w:b/>
      <w:bCs/>
      <w:kern w:val="1"/>
      <w:lang w:val="en-PH"/>
    </w:rPr>
  </w:style>
  <w:style w:type="character" w:customStyle="1" w:styleId="CommentSubjectChar">
    <w:name w:val="Comment Subject Char"/>
    <w:basedOn w:val="CommentTextChar"/>
    <w:link w:val="CommentSubject"/>
    <w:uiPriority w:val="99"/>
    <w:semiHidden/>
    <w:rsid w:val="00BE1364"/>
    <w:rPr>
      <w:rFonts w:ascii="Times New Roman" w:eastAsia="Arial Unicode MS" w:hAnsi="Times New Roman" w:cs="Times New Roman"/>
      <w:b/>
      <w:bCs/>
      <w:kern w:val="1"/>
      <w:sz w:val="20"/>
      <w:szCs w:val="20"/>
      <w:lang w:val="en-PH" w:eastAsia="en-US"/>
    </w:rPr>
  </w:style>
  <w:style w:type="paragraph" w:customStyle="1" w:styleId="Normal10pt">
    <w:name w:val="Normal + 10 pt"/>
    <w:basedOn w:val="Normal"/>
    <w:rsid w:val="00833D73"/>
    <w:pPr>
      <w:widowControl/>
      <w:suppressAutoHyphens w:val="0"/>
      <w:jc w:val="both"/>
    </w:pPr>
    <w:rPr>
      <w:rFonts w:eastAsia="Times New Roman"/>
      <w:kern w:val="0"/>
      <w:sz w:val="22"/>
      <w:szCs w:val="22"/>
      <w:lang w:val="en-US"/>
    </w:rPr>
  </w:style>
  <w:style w:type="paragraph" w:styleId="Revision">
    <w:name w:val="Revision"/>
    <w:hidden/>
    <w:uiPriority w:val="99"/>
    <w:semiHidden/>
    <w:rsid w:val="002E1831"/>
    <w:rPr>
      <w:rFonts w:ascii="Times New Roman" w:eastAsia="Arial Unicode MS" w:hAnsi="Times New Roman"/>
      <w:kern w:val="1"/>
      <w:sz w:val="24"/>
      <w:szCs w:val="24"/>
      <w:lang w:val="en-PH"/>
    </w:rPr>
  </w:style>
  <w:style w:type="paragraph" w:styleId="ListParagraph">
    <w:name w:val="List Paragraph"/>
    <w:basedOn w:val="Normal"/>
    <w:uiPriority w:val="34"/>
    <w:qFormat/>
    <w:rsid w:val="00A02507"/>
    <w:pPr>
      <w:widowControl/>
      <w:suppressAutoHyphens w:val="0"/>
      <w:ind w:left="720"/>
      <w:contextualSpacing/>
    </w:pPr>
    <w:rPr>
      <w:rFonts w:eastAsia="Times New Roman"/>
      <w:kern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686904">
      <w:bodyDiv w:val="1"/>
      <w:marLeft w:val="0"/>
      <w:marRight w:val="0"/>
      <w:marTop w:val="0"/>
      <w:marBottom w:val="0"/>
      <w:divBdr>
        <w:top w:val="none" w:sz="0" w:space="0" w:color="auto"/>
        <w:left w:val="none" w:sz="0" w:space="0" w:color="auto"/>
        <w:bottom w:val="none" w:sz="0" w:space="0" w:color="auto"/>
        <w:right w:val="none" w:sz="0" w:space="0" w:color="auto"/>
      </w:divBdr>
      <w:divsChild>
        <w:div w:id="256712276">
          <w:marLeft w:val="547"/>
          <w:marRight w:val="0"/>
          <w:marTop w:val="0"/>
          <w:marBottom w:val="0"/>
          <w:divBdr>
            <w:top w:val="none" w:sz="0" w:space="0" w:color="auto"/>
            <w:left w:val="none" w:sz="0" w:space="0" w:color="auto"/>
            <w:bottom w:val="none" w:sz="0" w:space="0" w:color="auto"/>
            <w:right w:val="none" w:sz="0" w:space="0" w:color="auto"/>
          </w:divBdr>
        </w:div>
        <w:div w:id="925652190">
          <w:marLeft w:val="547"/>
          <w:marRight w:val="0"/>
          <w:marTop w:val="0"/>
          <w:marBottom w:val="0"/>
          <w:divBdr>
            <w:top w:val="none" w:sz="0" w:space="0" w:color="auto"/>
            <w:left w:val="none" w:sz="0" w:space="0" w:color="auto"/>
            <w:bottom w:val="none" w:sz="0" w:space="0" w:color="auto"/>
            <w:right w:val="none" w:sz="0" w:space="0" w:color="auto"/>
          </w:divBdr>
        </w:div>
        <w:div w:id="1504860385">
          <w:marLeft w:val="547"/>
          <w:marRight w:val="0"/>
          <w:marTop w:val="0"/>
          <w:marBottom w:val="0"/>
          <w:divBdr>
            <w:top w:val="none" w:sz="0" w:space="0" w:color="auto"/>
            <w:left w:val="none" w:sz="0" w:space="0" w:color="auto"/>
            <w:bottom w:val="none" w:sz="0" w:space="0" w:color="auto"/>
            <w:right w:val="none" w:sz="0" w:space="0" w:color="auto"/>
          </w:divBdr>
        </w:div>
        <w:div w:id="21425761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B9D1F-0E6F-4F92-902E-660E88A4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STATEMENT TO THE SPECIAL RAPPORTEUR ON THE RIGHT TO FOOD</vt:lpstr>
    </vt:vector>
  </TitlesOfParts>
  <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TO THE SPECIAL RAPPORTEUR ON THE RIGHT TO FOOD</dc:title>
  <dc:subject/>
  <dc:creator>CLARE</dc:creator>
  <cp:keywords/>
  <dc:description/>
  <cp:lastModifiedBy>jun</cp:lastModifiedBy>
  <cp:revision>7</cp:revision>
  <cp:lastPrinted>2010-08-23T07:24:00Z</cp:lastPrinted>
  <dcterms:created xsi:type="dcterms:W3CDTF">2012-03-10T06:11:00Z</dcterms:created>
  <dcterms:modified xsi:type="dcterms:W3CDTF">2012-03-10T07:20:00Z</dcterms:modified>
</cp:coreProperties>
</file>