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0CE" w:rsidRPr="005E30CE" w:rsidRDefault="00587D87" w:rsidP="005E30CE">
      <w:pPr>
        <w:rPr>
          <w:b/>
        </w:rPr>
      </w:pPr>
      <w:r>
        <w:rPr>
          <w:b/>
        </w:rPr>
        <w:t xml:space="preserve">Annex A. Project Description of </w:t>
      </w:r>
      <w:r w:rsidR="005E30CE" w:rsidRPr="005E30CE">
        <w:rPr>
          <w:b/>
        </w:rPr>
        <w:t xml:space="preserve">Medium Term Cooperation Programme with Farmers’ Organisations in Asia and the Pacific Region – Phase 2 (MTCP2)  </w:t>
      </w:r>
    </w:p>
    <w:p w:rsidR="005E30CE" w:rsidRDefault="005E30CE" w:rsidP="005E30CE">
      <w:r>
        <w:t xml:space="preserve">The second phase of the MTCP - the MTCP 2 - (2013-2017) builds on success and lessons learned from the MTCP 1 . It aims to further strengthen the capacities of farmers organizations (FOs) in Asia and the Pacific to deliver better, improved and inclusive services to their members and to engage in effective dialogues with governments, thereby making FOs more viable, responsive and accountable to their members, more respected by their partners and with greater participation in policy-making and program implementation processes of governments and IFAD country operations. Its primary beneficiaries are smallholder farmers who are current or potential members of participating FOs. Its main participants are 150 FOs representing 20 million small-scale farming families in 25 countries in South Asia, South-east Asia + China </w:t>
      </w:r>
      <w:bookmarkStart w:id="0" w:name="_GoBack"/>
      <w:bookmarkEnd w:id="0"/>
      <w:r>
        <w:t xml:space="preserve">and the Pacific. </w:t>
      </w:r>
    </w:p>
    <w:p w:rsidR="005E30CE" w:rsidRDefault="005E30CE" w:rsidP="005E30CE">
      <w:r w:rsidRPr="005E30CE">
        <w:rPr>
          <w:b/>
        </w:rPr>
        <w:t>Components:</w:t>
      </w:r>
      <w:r>
        <w:t xml:space="preserve"> The Programme is articulated around 4 components: (i) Component 1 - Strengthen FOs and their networks (ii) Component 2 - Support participation of FOs in policy processes; (iii) Component 3 - Scale up FOs services and their involvement in agricultural development programmes; Component 4 - Strengthen programme management and coordination.</w:t>
      </w:r>
    </w:p>
    <w:p w:rsidR="005E30CE" w:rsidRDefault="005E30CE" w:rsidP="005E30CE">
      <w:r w:rsidRPr="005E30CE">
        <w:rPr>
          <w:b/>
        </w:rPr>
        <w:t>Geographical coverage</w:t>
      </w:r>
      <w:r>
        <w:rPr>
          <w:b/>
        </w:rPr>
        <w:t>:</w:t>
      </w:r>
      <w:r>
        <w:t xml:space="preserve"> The MTCP2 is evolving in terms of geographical coverage and implementation modalities, aiming to increase the benefits of its actions to a larger number of farmers organizations in the region, and also to enhance the FOs' ownership - both at regional and national level - in the implementation of the Programme's activities. Therefore, MTCP 2 has expanded its geographical coverage within South Asia and South East Asia, and has opened it to the Pacific Region. </w:t>
      </w:r>
    </w:p>
    <w:p w:rsidR="005E30CE" w:rsidRDefault="005E30CE" w:rsidP="005E30CE">
      <w:r w:rsidRPr="005E30CE">
        <w:rPr>
          <w:b/>
        </w:rPr>
        <w:t>Implementation modalities:</w:t>
      </w:r>
      <w:r>
        <w:t xml:space="preserve"> The programme is based on national platforms grouping all farmers’ organisations of each country deciding their own annual work plan and facilitated by a national implementing agency. Each sub-region is coordinated by a Sub-regional implementation agency (ANFPA, LVC/AFA and PIFON and the whole regional MTCP2 is under the coordination of the Regional Implementing agency managed by the consortium of AFA/LVC. RIA and SRIAs are farmer organisations, selected through a competitive process to ensure direct implementation of the Programme's activities.</w:t>
      </w:r>
    </w:p>
    <w:p w:rsidR="005E30CE" w:rsidRDefault="005E30CE" w:rsidP="005E30CE">
      <w:r w:rsidRPr="005E30CE">
        <w:rPr>
          <w:b/>
        </w:rPr>
        <w:t>Program Cost:</w:t>
      </w:r>
      <w:r>
        <w:t xml:space="preserve"> The total programme base cost is estimated as of now for a total of USD 19,178,000. Programme costs are co-financed by an IFAD grant of US$ 2 million (10% of total costs), a grant from SDC of US$ 3 million (16% of total costs) and a contribution of EU (Through AFOSP programme, see below) of US$ 10 million (52% of total costs). Supplementary grant financiers (Japan US$ 1 million, Korea US$ 0.5 million, Australia US$ 1 million, New Zealand US$ 1 million, and Agri-agencies US$ 0.678 million) to be confirmed up to US$ 4,178,000 (22%). </w:t>
      </w:r>
    </w:p>
    <w:p w:rsidR="005E30CE" w:rsidRDefault="005E30CE" w:rsidP="005E30CE">
      <w:r>
        <w:t>Additional EU funds focusing on the ASEAN sub region: On 12 June 2015, MTCP2 received a new grant of EUR 7.4 million under an agreement signed between the European Union (EU) and IFAD for the funding of the Asian Farmers’ Organisations Support Programme (AFOSP) and Medium Term Cooperation Programme Phase 2 and regional policy dialogue in Association of Southeast Asian Nations (ASEAN) region (AFOSP/MTCP2 ASEAN). The EU contribution through AFOSP/MTCP2 ASEAN is focused on the ASEAN sub-region; it is one of the two pillars of the global EU-funded AFOSP programme supporting MTCP2 and Agricord under the AFOSP/FFP ASEAN grant agreement. The AFOSP was launched in September 2015. The recipient of the grant and implementing agency for the AFOSP/MTCP2 is AFA in partnership with LVC as SRIA. The funds will be downloaded to NIAs.</w:t>
      </w:r>
    </w:p>
    <w:p w:rsidR="005B09D0" w:rsidRDefault="005B09D0"/>
    <w:p w:rsidR="005B09D0" w:rsidRPr="005B09D0" w:rsidRDefault="005B09D0" w:rsidP="005B09D0"/>
    <w:p w:rsidR="005B09D0" w:rsidRPr="005B09D0" w:rsidRDefault="005B09D0" w:rsidP="005B09D0">
      <w:r w:rsidRPr="005B09D0">
        <w:rPr>
          <w:noProof/>
          <w:lang w:val="en-US"/>
        </w:rPr>
        <w:drawing>
          <wp:anchor distT="0" distB="0" distL="114300" distR="114300" simplePos="0" relativeHeight="251658240" behindDoc="0" locked="0" layoutInCell="1" allowOverlap="1" wp14:anchorId="30C7D85C" wp14:editId="7DC40946">
            <wp:simplePos x="0" y="0"/>
            <wp:positionH relativeFrom="margin">
              <wp:align>center</wp:align>
            </wp:positionH>
            <wp:positionV relativeFrom="paragraph">
              <wp:posOffset>11430</wp:posOffset>
            </wp:positionV>
            <wp:extent cx="4572635" cy="3429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572635" cy="3429000"/>
                    </a:xfrm>
                    <a:prstGeom prst="rect">
                      <a:avLst/>
                    </a:prstGeom>
                  </pic:spPr>
                </pic:pic>
              </a:graphicData>
            </a:graphic>
            <wp14:sizeRelH relativeFrom="page">
              <wp14:pctWidth>0</wp14:pctWidth>
            </wp14:sizeRelH>
            <wp14:sizeRelV relativeFrom="page">
              <wp14:pctHeight>0</wp14:pctHeight>
            </wp14:sizeRelV>
          </wp:anchor>
        </w:drawing>
      </w:r>
    </w:p>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Pr="005B09D0" w:rsidRDefault="005B09D0" w:rsidP="005B09D0"/>
    <w:p w:rsidR="005B09D0" w:rsidRDefault="005B09D0" w:rsidP="005B09D0">
      <w:r w:rsidRPr="005B09D0">
        <w:rPr>
          <w:noProof/>
          <w:lang w:val="en-US"/>
        </w:rPr>
        <w:drawing>
          <wp:anchor distT="0" distB="0" distL="114300" distR="114300" simplePos="0" relativeHeight="251659264" behindDoc="0" locked="0" layoutInCell="1" allowOverlap="1" wp14:anchorId="2039C4B2" wp14:editId="633BA599">
            <wp:simplePos x="0" y="0"/>
            <wp:positionH relativeFrom="margin">
              <wp:align>center</wp:align>
            </wp:positionH>
            <wp:positionV relativeFrom="paragraph">
              <wp:posOffset>13335</wp:posOffset>
            </wp:positionV>
            <wp:extent cx="4572635" cy="3429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572635" cy="3429000"/>
                    </a:xfrm>
                    <a:prstGeom prst="rect">
                      <a:avLst/>
                    </a:prstGeom>
                  </pic:spPr>
                </pic:pic>
              </a:graphicData>
            </a:graphic>
            <wp14:sizeRelH relativeFrom="page">
              <wp14:pctWidth>0</wp14:pctWidth>
            </wp14:sizeRelH>
            <wp14:sizeRelV relativeFrom="page">
              <wp14:pctHeight>0</wp14:pctHeight>
            </wp14:sizeRelV>
          </wp:anchor>
        </w:drawing>
      </w:r>
    </w:p>
    <w:p w:rsidR="00127B33" w:rsidRPr="005B09D0" w:rsidRDefault="005B09D0" w:rsidP="005B09D0">
      <w:pPr>
        <w:tabs>
          <w:tab w:val="left" w:pos="7890"/>
        </w:tabs>
      </w:pPr>
      <w:r>
        <w:tab/>
      </w:r>
    </w:p>
    <w:sectPr w:rsidR="00127B33" w:rsidRPr="005B09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9D0"/>
    <w:rsid w:val="00127B33"/>
    <w:rsid w:val="00350486"/>
    <w:rsid w:val="00587D87"/>
    <w:rsid w:val="005B09D0"/>
    <w:rsid w:val="005E30CE"/>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3238</Characters>
  <Application>Microsoft Macintosh Word</Application>
  <DocSecurity>0</DocSecurity>
  <Lines>26</Lines>
  <Paragraphs>7</Paragraphs>
  <ScaleCrop>false</ScaleCrop>
  <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lany</dc:creator>
  <cp:keywords/>
  <dc:description/>
  <cp:lastModifiedBy>Ma. Estrella A. Penunia</cp:lastModifiedBy>
  <cp:revision>2</cp:revision>
  <dcterms:created xsi:type="dcterms:W3CDTF">2016-07-17T02:45:00Z</dcterms:created>
  <dcterms:modified xsi:type="dcterms:W3CDTF">2016-07-17T02:45:00Z</dcterms:modified>
</cp:coreProperties>
</file>